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BE181" w14:textId="0F538CD6" w:rsidR="00177216" w:rsidRPr="00A7366F" w:rsidRDefault="00177216" w:rsidP="00177216">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5</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R4-200</w:t>
      </w:r>
      <w:r w:rsidR="00EE4748">
        <w:rPr>
          <w:rFonts w:ascii="Calibri" w:eastAsia="PMingLiU" w:hAnsi="Calibri" w:cs="Calibri"/>
          <w:sz w:val="24"/>
          <w:szCs w:val="24"/>
          <w:lang w:eastAsia="ja-JP"/>
        </w:rPr>
        <w:t>6475</w:t>
      </w:r>
      <w:bookmarkStart w:id="0" w:name="_GoBack"/>
      <w:bookmarkEnd w:id="0"/>
    </w:p>
    <w:p w14:paraId="48D6C2F1" w14:textId="77777777" w:rsidR="00177216" w:rsidRPr="00A7366F" w:rsidRDefault="00177216" w:rsidP="00177216">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w:t>
      </w:r>
      <w:r>
        <w:rPr>
          <w:rFonts w:asciiTheme="minorHAnsi" w:eastAsiaTheme="minorEastAsia" w:hAnsiTheme="minorHAnsi" w:cstheme="minorBidi"/>
          <w:noProof w:val="0"/>
          <w:sz w:val="22"/>
          <w:szCs w:val="22"/>
          <w:lang w:eastAsia="zh-CN"/>
        </w:rPr>
        <w:t>5 May</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Pr>
          <w:rFonts w:asciiTheme="minorHAnsi" w:eastAsiaTheme="minorEastAsia" w:hAnsiTheme="minorHAnsi" w:cstheme="minorBidi"/>
          <w:noProof w:val="0"/>
          <w:sz w:val="22"/>
          <w:szCs w:val="22"/>
          <w:lang w:eastAsia="zh-CN"/>
        </w:rPr>
        <w:t>5</w:t>
      </w:r>
      <w:r w:rsidRPr="00A7366F">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Jun</w:t>
      </w:r>
      <w:r w:rsidRPr="00A7366F">
        <w:rPr>
          <w:rFonts w:asciiTheme="minorHAnsi" w:eastAsiaTheme="minorEastAsia" w:hAnsiTheme="minorHAnsi" w:cstheme="minorBidi"/>
          <w:noProof w:val="0"/>
          <w:sz w:val="22"/>
          <w:szCs w:val="22"/>
          <w:lang w:eastAsia="zh-CN"/>
        </w:rPr>
        <w:t>., 2020</w:t>
      </w:r>
    </w:p>
    <w:p w14:paraId="0426E601" w14:textId="77777777" w:rsidR="002E58D2" w:rsidRPr="0008757D" w:rsidRDefault="002E58D2" w:rsidP="00350DA8">
      <w:pPr>
        <w:pStyle w:val="a5"/>
        <w:jc w:val="both"/>
        <w:rPr>
          <w:rFonts w:ascii="Calibri" w:eastAsia="PMingLiU" w:hAnsi="Calibri"/>
          <w:sz w:val="24"/>
          <w:highlight w:val="yellow"/>
          <w:lang w:eastAsia="zh-TW"/>
        </w:rPr>
      </w:pPr>
    </w:p>
    <w:p w14:paraId="6352570E" w14:textId="2E9A2DC6" w:rsidR="00FB1EA3" w:rsidRPr="00F52EE4" w:rsidRDefault="00FB1EA3" w:rsidP="00350DA8">
      <w:pPr>
        <w:ind w:left="1985" w:hanging="1985"/>
        <w:jc w:val="both"/>
        <w:rPr>
          <w:rFonts w:cs="Arial"/>
          <w:b/>
          <w:bCs/>
        </w:rPr>
      </w:pPr>
      <w:r w:rsidRPr="001D0732">
        <w:rPr>
          <w:rFonts w:cs="Arial"/>
          <w:b/>
          <w:bCs/>
        </w:rPr>
        <w:t>Agenda Item:</w:t>
      </w:r>
      <w:r w:rsidRPr="001D0732">
        <w:rPr>
          <w:rFonts w:cs="Arial"/>
          <w:b/>
          <w:bCs/>
        </w:rPr>
        <w:tab/>
      </w:r>
      <w:r w:rsidR="001D0732" w:rsidRPr="001D0732">
        <w:rPr>
          <w:rFonts w:cs="Arial"/>
          <w:b/>
          <w:bCs/>
        </w:rPr>
        <w:t>6</w:t>
      </w:r>
      <w:r w:rsidR="006F745B" w:rsidRPr="001D0732">
        <w:rPr>
          <w:rFonts w:cs="Arial"/>
          <w:b/>
          <w:bCs/>
        </w:rPr>
        <w:t>.15.1.2</w:t>
      </w:r>
    </w:p>
    <w:p w14:paraId="68E291BE" w14:textId="77777777" w:rsidR="0034111C" w:rsidRPr="000C45FD" w:rsidRDefault="0034111C" w:rsidP="00350DA8">
      <w:pPr>
        <w:ind w:left="1985" w:hanging="1985"/>
        <w:jc w:val="both"/>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45A07B9" w:rsidR="00174EC2" w:rsidRDefault="0034111C" w:rsidP="00350DA8">
      <w:pPr>
        <w:ind w:left="1985" w:hanging="1985"/>
        <w:jc w:val="both"/>
        <w:rPr>
          <w:rFonts w:cs="Arial"/>
          <w:b/>
          <w:bCs/>
        </w:rPr>
      </w:pPr>
      <w:r w:rsidRPr="000C45FD">
        <w:rPr>
          <w:rFonts w:cs="Arial"/>
          <w:b/>
          <w:bCs/>
        </w:rPr>
        <w:t>Title:</w:t>
      </w:r>
      <w:r w:rsidRPr="000C45FD">
        <w:rPr>
          <w:rFonts w:cs="Arial"/>
          <w:b/>
          <w:bCs/>
        </w:rPr>
        <w:tab/>
      </w:r>
      <w:r w:rsidR="00002964" w:rsidRPr="00002964">
        <w:rPr>
          <w:rFonts w:cs="Arial"/>
          <w:b/>
          <w:bCs/>
        </w:rPr>
        <w:t>Discussion on Multiple SCell activation</w:t>
      </w:r>
    </w:p>
    <w:p w14:paraId="6F580D61" w14:textId="77777777" w:rsidR="0034111C" w:rsidRPr="000C45FD" w:rsidRDefault="0034111C" w:rsidP="00350DA8">
      <w:pPr>
        <w:ind w:left="1985" w:hanging="1985"/>
        <w:jc w:val="both"/>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D41441">
      <w:pPr>
        <w:pStyle w:val="1"/>
        <w:numPr>
          <w:ilvl w:val="0"/>
          <w:numId w:val="1"/>
        </w:numPr>
        <w:jc w:val="both"/>
        <w:rPr>
          <w:rFonts w:ascii="Calibri" w:hAnsi="Calibri"/>
        </w:rPr>
      </w:pPr>
      <w:r w:rsidRPr="000C45FD">
        <w:rPr>
          <w:rFonts w:ascii="Calibri" w:hAnsi="Calibri"/>
        </w:rPr>
        <w:t>Introduction</w:t>
      </w:r>
    </w:p>
    <w:p w14:paraId="7DE91329" w14:textId="728A8F5E" w:rsidR="0067020F" w:rsidRDefault="0067020F" w:rsidP="00350DA8">
      <w:pPr>
        <w:jc w:val="both"/>
      </w:pPr>
      <w:r>
        <w:t xml:space="preserve">In </w:t>
      </w:r>
      <w:r w:rsidR="0067791A">
        <w:t>last</w:t>
      </w:r>
      <w:r>
        <w:t xml:space="preserve"> meeting, </w:t>
      </w:r>
      <w:r w:rsidR="0067791A">
        <w:t>a WF</w:t>
      </w:r>
      <w:r w:rsidR="0067791A" w:rsidRPr="008B32E1">
        <w:t xml:space="preserve"> of </w:t>
      </w:r>
      <w:r w:rsidR="0067791A">
        <w:t>Multiple SCell activation</w:t>
      </w:r>
      <w:r w:rsidR="0067791A" w:rsidRPr="008B32E1">
        <w:t xml:space="preserve"> ha</w:t>
      </w:r>
      <w:r w:rsidR="0067791A">
        <w:t>s</w:t>
      </w:r>
      <w:r w:rsidR="0067791A" w:rsidRPr="008B32E1">
        <w:t xml:space="preserve"> been </w:t>
      </w:r>
      <w:r w:rsidR="0067791A">
        <w:t>agree</w:t>
      </w:r>
      <w:r w:rsidR="0067791A" w:rsidRPr="008B32E1">
        <w:t>d [1].</w:t>
      </w:r>
      <w:r w:rsidR="003650D6">
        <w:t xml:space="preserve"> The remaining issues are captured as follow.</w:t>
      </w:r>
    </w:p>
    <w:tbl>
      <w:tblPr>
        <w:tblStyle w:val="af4"/>
        <w:tblW w:w="0" w:type="auto"/>
        <w:tblLook w:val="04A0" w:firstRow="1" w:lastRow="0" w:firstColumn="1" w:lastColumn="0" w:noHBand="0" w:noVBand="1"/>
      </w:tblPr>
      <w:tblGrid>
        <w:gridCol w:w="9629"/>
      </w:tblGrid>
      <w:tr w:rsidR="0067020F" w14:paraId="2244046F" w14:textId="77777777" w:rsidTr="0067020F">
        <w:tc>
          <w:tcPr>
            <w:tcW w:w="9629" w:type="dxa"/>
          </w:tcPr>
          <w:p w14:paraId="052A284D" w14:textId="77777777" w:rsidR="00B90B6B" w:rsidRPr="009F6A9B" w:rsidRDefault="00D41441" w:rsidP="00D41441">
            <w:pPr>
              <w:numPr>
                <w:ilvl w:val="0"/>
                <w:numId w:val="5"/>
              </w:numPr>
              <w:spacing w:after="0" w:line="240" w:lineRule="auto"/>
              <w:jc w:val="both"/>
              <w:rPr>
                <w:sz w:val="20"/>
                <w:szCs w:val="20"/>
              </w:rPr>
            </w:pPr>
            <w:r w:rsidRPr="009F6A9B">
              <w:rPr>
                <w:sz w:val="20"/>
                <w:szCs w:val="20"/>
              </w:rPr>
              <w:t>FFS:</w:t>
            </w:r>
          </w:p>
          <w:p w14:paraId="3D58D3FC" w14:textId="77777777" w:rsidR="00B90B6B" w:rsidRPr="009F6A9B" w:rsidRDefault="00D41441" w:rsidP="00D41441">
            <w:pPr>
              <w:numPr>
                <w:ilvl w:val="1"/>
                <w:numId w:val="5"/>
              </w:numPr>
              <w:spacing w:after="0" w:line="240" w:lineRule="auto"/>
              <w:jc w:val="both"/>
              <w:rPr>
                <w:sz w:val="20"/>
                <w:szCs w:val="20"/>
              </w:rPr>
            </w:pPr>
            <w:r w:rsidRPr="009F6A9B">
              <w:rPr>
                <w:sz w:val="20"/>
                <w:szCs w:val="20"/>
              </w:rPr>
              <w:t>FR1 unknown SCell that is contiguous to FR1 known cell or FR1 active serving cell is not accounted for, or scaled by, N when either of the following is fulfilled:</w:t>
            </w:r>
          </w:p>
          <w:p w14:paraId="13C9455D" w14:textId="77777777" w:rsidR="00B90B6B" w:rsidRPr="009F6A9B" w:rsidRDefault="00D41441" w:rsidP="00D41441">
            <w:pPr>
              <w:numPr>
                <w:ilvl w:val="2"/>
                <w:numId w:val="5"/>
              </w:numPr>
              <w:spacing w:after="0" w:line="240" w:lineRule="auto"/>
              <w:jc w:val="both"/>
              <w:rPr>
                <w:sz w:val="20"/>
                <w:szCs w:val="20"/>
              </w:rPr>
            </w:pPr>
            <w:r w:rsidRPr="009F6A9B">
              <w:rPr>
                <w:sz w:val="20"/>
                <w:szCs w:val="20"/>
              </w:rPr>
              <w:t>A single SSB is used in the SCell, </w:t>
            </w:r>
          </w:p>
          <w:p w14:paraId="2B76B9F5" w14:textId="77777777" w:rsidR="00B90B6B" w:rsidRPr="009F6A9B" w:rsidRDefault="00D41441" w:rsidP="00D41441">
            <w:pPr>
              <w:numPr>
                <w:ilvl w:val="2"/>
                <w:numId w:val="5"/>
              </w:numPr>
              <w:spacing w:after="0" w:line="240" w:lineRule="auto"/>
              <w:jc w:val="both"/>
              <w:rPr>
                <w:sz w:val="20"/>
                <w:szCs w:val="20"/>
              </w:rPr>
            </w:pPr>
            <w:r w:rsidRPr="009F6A9B">
              <w:rPr>
                <w:sz w:val="20"/>
                <w:szCs w:val="20"/>
              </w:rPr>
              <w:t>Multiple SSBs are used in the SCell, and TCI state indication for PDCCH is received with the SCell activation MAC PDU</w:t>
            </w:r>
          </w:p>
          <w:p w14:paraId="04C8B630" w14:textId="77777777" w:rsidR="00B90B6B" w:rsidRPr="009F6A9B" w:rsidRDefault="00D41441" w:rsidP="00D41441">
            <w:pPr>
              <w:numPr>
                <w:ilvl w:val="1"/>
                <w:numId w:val="5"/>
              </w:numPr>
              <w:spacing w:after="0" w:line="240" w:lineRule="auto"/>
              <w:jc w:val="both"/>
              <w:rPr>
                <w:sz w:val="20"/>
                <w:szCs w:val="20"/>
              </w:rPr>
            </w:pPr>
            <w:r w:rsidRPr="009F6A9B">
              <w:rPr>
                <w:sz w:val="20"/>
                <w:szCs w:val="20"/>
              </w:rPr>
              <w:t>Otherwise the SCell is accounted for in, and scaled by, N.</w:t>
            </w:r>
          </w:p>
          <w:p w14:paraId="2301FC2C" w14:textId="77777777" w:rsidR="00B90B6B" w:rsidRPr="009F6A9B" w:rsidRDefault="00D41441" w:rsidP="00D41441">
            <w:pPr>
              <w:numPr>
                <w:ilvl w:val="0"/>
                <w:numId w:val="5"/>
              </w:numPr>
              <w:spacing w:after="0" w:line="240" w:lineRule="auto"/>
              <w:jc w:val="both"/>
              <w:rPr>
                <w:sz w:val="20"/>
                <w:szCs w:val="20"/>
              </w:rPr>
            </w:pPr>
            <w:r w:rsidRPr="009F6A9B">
              <w:rPr>
                <w:sz w:val="20"/>
                <w:szCs w:val="20"/>
              </w:rPr>
              <w:t>FFS:</w:t>
            </w:r>
          </w:p>
          <w:p w14:paraId="1E33E852" w14:textId="77777777" w:rsidR="00B90B6B" w:rsidRPr="009F6A9B" w:rsidRDefault="00D41441" w:rsidP="00D41441">
            <w:pPr>
              <w:numPr>
                <w:ilvl w:val="1"/>
                <w:numId w:val="5"/>
              </w:numPr>
              <w:spacing w:after="0" w:line="240" w:lineRule="auto"/>
              <w:jc w:val="both"/>
              <w:rPr>
                <w:sz w:val="20"/>
                <w:szCs w:val="20"/>
              </w:rPr>
            </w:pPr>
            <w:r w:rsidRPr="009F6A9B">
              <w:rPr>
                <w:sz w:val="20"/>
                <w:szCs w:val="20"/>
                <w:lang w:val="en-GB"/>
              </w:rPr>
              <w:t>Option 2 (MediaTek, Ericsson, Qualcomm): “cell detection time” in delay extension due to searcher limitation means “1*T</w:t>
            </w:r>
            <w:r w:rsidRPr="009F6A9B">
              <w:rPr>
                <w:sz w:val="20"/>
                <w:szCs w:val="20"/>
                <w:vertAlign w:val="subscript"/>
                <w:lang w:val="en-GB"/>
              </w:rPr>
              <w:t>RS</w:t>
            </w:r>
            <w:r w:rsidRPr="009F6A9B">
              <w:rPr>
                <w:sz w:val="20"/>
                <w:szCs w:val="20"/>
                <w:lang w:val="en-GB"/>
              </w:rPr>
              <w:t>” for FR1 unknown SCell and “8*T</w:t>
            </w:r>
            <w:r w:rsidRPr="009F6A9B">
              <w:rPr>
                <w:sz w:val="20"/>
                <w:szCs w:val="20"/>
                <w:vertAlign w:val="subscript"/>
                <w:lang w:val="en-GB"/>
              </w:rPr>
              <w:t>rs</w:t>
            </w:r>
            <w:r w:rsidRPr="009F6A9B">
              <w:rPr>
                <w:sz w:val="20"/>
                <w:szCs w:val="20"/>
                <w:lang w:val="en-GB"/>
              </w:rPr>
              <w:t>” for the FR2 unknown Scell</w:t>
            </w:r>
          </w:p>
          <w:p w14:paraId="48645E71" w14:textId="77777777" w:rsidR="00B90B6B" w:rsidRPr="009F6A9B" w:rsidRDefault="00D41441" w:rsidP="00D41441">
            <w:pPr>
              <w:numPr>
                <w:ilvl w:val="1"/>
                <w:numId w:val="5"/>
              </w:numPr>
              <w:spacing w:after="0" w:line="240" w:lineRule="auto"/>
              <w:jc w:val="both"/>
              <w:rPr>
                <w:sz w:val="20"/>
                <w:szCs w:val="20"/>
              </w:rPr>
            </w:pPr>
            <w:r w:rsidRPr="009F6A9B">
              <w:rPr>
                <w:sz w:val="20"/>
                <w:szCs w:val="20"/>
                <w:lang w:val="en-GB"/>
              </w:rPr>
              <w:t>Option 3 (NEC, Huawei, Apple): “cell detection time” in delay extension due to searcher limitation means “</w:t>
            </w:r>
            <w:r w:rsidRPr="009F6A9B">
              <w:rPr>
                <w:sz w:val="20"/>
                <w:szCs w:val="20"/>
                <w:lang w:val="en-CA"/>
              </w:rPr>
              <w:t>T</w:t>
            </w:r>
            <w:r w:rsidRPr="009F6A9B">
              <w:rPr>
                <w:sz w:val="20"/>
                <w:szCs w:val="20"/>
                <w:vertAlign w:val="subscript"/>
              </w:rPr>
              <w:t xml:space="preserve">FirstSSB_MAX </w:t>
            </w:r>
            <w:r w:rsidRPr="009F6A9B">
              <w:rPr>
                <w:sz w:val="20"/>
                <w:szCs w:val="20"/>
              </w:rPr>
              <w:t>+</w:t>
            </w:r>
            <w:r w:rsidRPr="009F6A9B">
              <w:rPr>
                <w:sz w:val="20"/>
                <w:szCs w:val="20"/>
                <w:lang w:val="en-GB"/>
              </w:rPr>
              <w:t xml:space="preserve"> T</w:t>
            </w:r>
            <w:r w:rsidRPr="009F6A9B">
              <w:rPr>
                <w:sz w:val="20"/>
                <w:szCs w:val="20"/>
                <w:vertAlign w:val="subscript"/>
                <w:lang w:val="en-GB"/>
              </w:rPr>
              <w:t xml:space="preserve">SMTC_MAX </w:t>
            </w:r>
            <w:r w:rsidRPr="009F6A9B">
              <w:rPr>
                <w:sz w:val="20"/>
                <w:szCs w:val="20"/>
                <w:lang w:val="en-GB"/>
              </w:rPr>
              <w:t>+ T</w:t>
            </w:r>
            <w:r w:rsidRPr="009F6A9B">
              <w:rPr>
                <w:sz w:val="20"/>
                <w:szCs w:val="20"/>
                <w:vertAlign w:val="subscript"/>
                <w:lang w:val="en-GB"/>
              </w:rPr>
              <w:t>rs</w:t>
            </w:r>
            <w:r w:rsidRPr="009F6A9B">
              <w:rPr>
                <w:sz w:val="20"/>
                <w:szCs w:val="20"/>
                <w:lang w:val="en-GB"/>
              </w:rPr>
              <w:t>” for FR1 unknown SCell and “</w:t>
            </w:r>
            <w:r w:rsidRPr="009F6A9B">
              <w:rPr>
                <w:sz w:val="20"/>
                <w:szCs w:val="20"/>
                <w:lang w:val="en-CA"/>
              </w:rPr>
              <w:t>T</w:t>
            </w:r>
            <w:r w:rsidRPr="009F6A9B">
              <w:rPr>
                <w:sz w:val="20"/>
                <w:szCs w:val="20"/>
                <w:vertAlign w:val="subscript"/>
                <w:lang w:val="en-CA"/>
              </w:rPr>
              <w:t xml:space="preserve">FirstSSB </w:t>
            </w:r>
            <w:r w:rsidRPr="009F6A9B">
              <w:rPr>
                <w:sz w:val="20"/>
                <w:szCs w:val="20"/>
                <w:lang w:val="en-CA"/>
              </w:rPr>
              <w:t>+ 23*T</w:t>
            </w:r>
            <w:r w:rsidRPr="009F6A9B">
              <w:rPr>
                <w:sz w:val="20"/>
                <w:szCs w:val="20"/>
                <w:vertAlign w:val="subscript"/>
                <w:lang w:val="en-CA"/>
              </w:rPr>
              <w:t>rs</w:t>
            </w:r>
            <w:r w:rsidRPr="009F6A9B">
              <w:rPr>
                <w:sz w:val="20"/>
                <w:szCs w:val="20"/>
                <w:lang w:val="en-GB"/>
              </w:rPr>
              <w:t>” for the FR2 unknown Scell</w:t>
            </w:r>
          </w:p>
          <w:p w14:paraId="5AEDC19B" w14:textId="77777777" w:rsidR="00B90B6B" w:rsidRPr="009F6A9B" w:rsidRDefault="00D41441" w:rsidP="00D41441">
            <w:pPr>
              <w:numPr>
                <w:ilvl w:val="0"/>
                <w:numId w:val="5"/>
              </w:numPr>
              <w:spacing w:after="0" w:line="240" w:lineRule="auto"/>
              <w:jc w:val="both"/>
              <w:rPr>
                <w:sz w:val="20"/>
                <w:szCs w:val="20"/>
              </w:rPr>
            </w:pPr>
            <w:r w:rsidRPr="009F6A9B">
              <w:rPr>
                <w:sz w:val="20"/>
                <w:szCs w:val="20"/>
                <w:lang w:val="en-GB"/>
              </w:rPr>
              <w:t xml:space="preserve">FFS: activation delay for FR1 known SCell with Scell_meas_cycle≤160ms (options in issue 1-10-1 in </w:t>
            </w:r>
            <w:r w:rsidRPr="009F6A9B">
              <w:rPr>
                <w:sz w:val="20"/>
                <w:szCs w:val="20"/>
              </w:rPr>
              <w:t>R4-2005293</w:t>
            </w:r>
            <w:r w:rsidRPr="009F6A9B">
              <w:rPr>
                <w:sz w:val="20"/>
                <w:szCs w:val="20"/>
                <w:lang w:val="en-GB"/>
              </w:rPr>
              <w:t>)</w:t>
            </w:r>
          </w:p>
          <w:p w14:paraId="6E2942C1" w14:textId="77777777" w:rsidR="00B90B6B" w:rsidRPr="009F6A9B" w:rsidRDefault="00D41441" w:rsidP="00D41441">
            <w:pPr>
              <w:numPr>
                <w:ilvl w:val="0"/>
                <w:numId w:val="5"/>
              </w:numPr>
              <w:spacing w:after="0" w:line="240" w:lineRule="auto"/>
              <w:jc w:val="both"/>
              <w:rPr>
                <w:sz w:val="20"/>
                <w:szCs w:val="20"/>
              </w:rPr>
            </w:pPr>
            <w:r w:rsidRPr="009F6A9B">
              <w:rPr>
                <w:sz w:val="20"/>
                <w:szCs w:val="20"/>
                <w:lang w:val="en-GB"/>
              </w:rPr>
              <w:t xml:space="preserve">FFS: activation delay for FR1 known SCell with Scell_meas_cycle&gt;160ms (options in issue 1-10-2 in </w:t>
            </w:r>
            <w:r w:rsidRPr="009F6A9B">
              <w:rPr>
                <w:sz w:val="20"/>
                <w:szCs w:val="20"/>
              </w:rPr>
              <w:t>R4-2005293</w:t>
            </w:r>
            <w:r w:rsidRPr="009F6A9B">
              <w:rPr>
                <w:sz w:val="20"/>
                <w:szCs w:val="20"/>
                <w:lang w:val="en-GB"/>
              </w:rPr>
              <w:t>)</w:t>
            </w:r>
          </w:p>
          <w:p w14:paraId="3FF2D216" w14:textId="77777777" w:rsidR="00B90B6B" w:rsidRPr="009F6A9B" w:rsidRDefault="00D41441" w:rsidP="00D41441">
            <w:pPr>
              <w:numPr>
                <w:ilvl w:val="0"/>
                <w:numId w:val="5"/>
              </w:numPr>
              <w:spacing w:after="0" w:line="240" w:lineRule="auto"/>
              <w:jc w:val="both"/>
              <w:rPr>
                <w:sz w:val="20"/>
                <w:szCs w:val="20"/>
              </w:rPr>
            </w:pPr>
            <w:r w:rsidRPr="009F6A9B">
              <w:rPr>
                <w:sz w:val="20"/>
                <w:szCs w:val="20"/>
                <w:lang w:val="en-GB"/>
              </w:rPr>
              <w:t xml:space="preserve">FFS: activation delay for FR1 Unknown SCell (options in issue 1-10-3 in </w:t>
            </w:r>
            <w:r w:rsidRPr="009F6A9B">
              <w:rPr>
                <w:sz w:val="20"/>
                <w:szCs w:val="20"/>
              </w:rPr>
              <w:t>R4-2005293</w:t>
            </w:r>
            <w:r w:rsidRPr="009F6A9B">
              <w:rPr>
                <w:sz w:val="20"/>
                <w:szCs w:val="20"/>
                <w:lang w:val="en-GB"/>
              </w:rPr>
              <w:t>)</w:t>
            </w:r>
          </w:p>
          <w:p w14:paraId="61801CEF" w14:textId="77777777" w:rsidR="00B90B6B" w:rsidRPr="009F6A9B" w:rsidRDefault="00D41441" w:rsidP="00D41441">
            <w:pPr>
              <w:numPr>
                <w:ilvl w:val="0"/>
                <w:numId w:val="5"/>
              </w:numPr>
              <w:spacing w:after="0" w:line="240" w:lineRule="auto"/>
              <w:jc w:val="both"/>
              <w:rPr>
                <w:sz w:val="20"/>
                <w:szCs w:val="20"/>
              </w:rPr>
            </w:pPr>
            <w:r w:rsidRPr="009F6A9B">
              <w:rPr>
                <w:sz w:val="20"/>
                <w:szCs w:val="20"/>
                <w:lang w:val="en-GB"/>
              </w:rPr>
              <w:t xml:space="preserve">FFS: activation delay for FR2 unknown SCell without active serving cell on same band, and with SP-CSI-RS for CSI reporting (options in issue 1-10-9 in </w:t>
            </w:r>
            <w:r w:rsidRPr="009F6A9B">
              <w:rPr>
                <w:sz w:val="20"/>
                <w:szCs w:val="20"/>
              </w:rPr>
              <w:t>R4-2005293</w:t>
            </w:r>
            <w:r w:rsidRPr="009F6A9B">
              <w:rPr>
                <w:sz w:val="20"/>
                <w:szCs w:val="20"/>
                <w:lang w:val="en-GB"/>
              </w:rPr>
              <w:t>)</w:t>
            </w:r>
          </w:p>
          <w:p w14:paraId="0AE2F670" w14:textId="77777777" w:rsidR="00B90B6B" w:rsidRPr="009F6A9B" w:rsidRDefault="00D41441" w:rsidP="00D41441">
            <w:pPr>
              <w:numPr>
                <w:ilvl w:val="0"/>
                <w:numId w:val="5"/>
              </w:numPr>
              <w:spacing w:after="0" w:line="240" w:lineRule="auto"/>
              <w:jc w:val="both"/>
              <w:rPr>
                <w:sz w:val="20"/>
                <w:szCs w:val="20"/>
              </w:rPr>
            </w:pPr>
            <w:r w:rsidRPr="009F6A9B">
              <w:rPr>
                <w:sz w:val="20"/>
                <w:szCs w:val="20"/>
                <w:lang w:val="en-GB"/>
              </w:rPr>
              <w:t xml:space="preserve">FFS: FR2 unknown SCell without active serving cell on same band, and with P-CSI-RS for CSI reporting (options in issue 1-10-10 in </w:t>
            </w:r>
            <w:r w:rsidRPr="009F6A9B">
              <w:rPr>
                <w:sz w:val="20"/>
                <w:szCs w:val="20"/>
              </w:rPr>
              <w:t>R4-2005293</w:t>
            </w:r>
            <w:r w:rsidRPr="009F6A9B">
              <w:rPr>
                <w:sz w:val="20"/>
                <w:szCs w:val="20"/>
                <w:lang w:val="en-GB"/>
              </w:rPr>
              <w:t>)</w:t>
            </w:r>
          </w:p>
          <w:p w14:paraId="2096187A" w14:textId="3CC9E69F" w:rsidR="009F6A9B" w:rsidRDefault="009F6A9B" w:rsidP="00D41441">
            <w:pPr>
              <w:numPr>
                <w:ilvl w:val="0"/>
                <w:numId w:val="5"/>
              </w:numPr>
              <w:spacing w:after="0" w:line="240" w:lineRule="auto"/>
              <w:jc w:val="both"/>
              <w:rPr>
                <w:sz w:val="20"/>
                <w:szCs w:val="20"/>
              </w:rPr>
            </w:pPr>
            <w:r w:rsidRPr="009F6A9B">
              <w:rPr>
                <w:sz w:val="20"/>
                <w:szCs w:val="20"/>
              </w:rPr>
              <w:t>FFS: narrow down multiple Scell activation cases for requirements</w:t>
            </w:r>
          </w:p>
          <w:p w14:paraId="0DFC4732" w14:textId="68ED4384" w:rsidR="0067020F" w:rsidRDefault="009F6A9B" w:rsidP="00D41441">
            <w:pPr>
              <w:numPr>
                <w:ilvl w:val="1"/>
                <w:numId w:val="5"/>
              </w:numPr>
              <w:spacing w:after="0" w:line="240" w:lineRule="auto"/>
              <w:jc w:val="both"/>
            </w:pPr>
            <w:r w:rsidRPr="009F6A9B">
              <w:rPr>
                <w:sz w:val="20"/>
                <w:szCs w:val="20"/>
                <w:lang w:val="en-GB"/>
              </w:rPr>
              <w:t xml:space="preserve">Continue the discussion on how to down select the cases for multiple SCell activation requirement in next RAN4 meeting; and if conclusion is made in next meeting to preclude certain case(s), the corresponding requirement for that case(s) could be removed. </w:t>
            </w:r>
            <w:r w:rsidR="00686852" w:rsidRPr="00057FCE">
              <w:t xml:space="preserve"> </w:t>
            </w:r>
          </w:p>
        </w:tc>
      </w:tr>
    </w:tbl>
    <w:p w14:paraId="614ED4CC" w14:textId="21BB8902" w:rsidR="00C85702" w:rsidRDefault="00C85702" w:rsidP="00350DA8">
      <w:pPr>
        <w:spacing w:before="120"/>
        <w:jc w:val="both"/>
      </w:pPr>
      <w:r>
        <w:t>In this paper, we will discuss the</w:t>
      </w:r>
      <w:r w:rsidR="00D17BFD">
        <w:t>se</w:t>
      </w:r>
      <w:r>
        <w:t xml:space="preserve"> </w:t>
      </w:r>
      <w:r w:rsidR="00D17BFD">
        <w:t>remaining issues</w:t>
      </w:r>
      <w:r>
        <w:t xml:space="preserve"> </w:t>
      </w:r>
      <w:r w:rsidR="00D17BFD">
        <w:t>in</w:t>
      </w:r>
      <w:r>
        <w:t xml:space="preserve"> </w:t>
      </w:r>
      <w:r w:rsidR="003C1E65">
        <w:t>multiple SCell activation</w:t>
      </w:r>
      <w:r w:rsidR="00D17BFD">
        <w:t xml:space="preserve"> requirement</w:t>
      </w:r>
      <w:r>
        <w:t>.</w:t>
      </w:r>
    </w:p>
    <w:p w14:paraId="01856133" w14:textId="7C0F7AEB" w:rsidR="00D17BFD" w:rsidRPr="00C24C23" w:rsidRDefault="00A0108C" w:rsidP="00D41441">
      <w:pPr>
        <w:pStyle w:val="1"/>
        <w:numPr>
          <w:ilvl w:val="0"/>
          <w:numId w:val="1"/>
        </w:numPr>
        <w:jc w:val="both"/>
        <w:rPr>
          <w:rFonts w:ascii="Calibri" w:hAnsi="Calibri"/>
        </w:rPr>
      </w:pPr>
      <w:r>
        <w:rPr>
          <w:rFonts w:ascii="Calibri" w:hAnsi="Calibri"/>
        </w:rPr>
        <w:t>Scaling Factor for multiple unknown SCells activation</w:t>
      </w:r>
    </w:p>
    <w:p w14:paraId="3AAFB6F3" w14:textId="71441BEE" w:rsidR="00020678" w:rsidRDefault="00020678" w:rsidP="00350DA8">
      <w:pPr>
        <w:jc w:val="both"/>
        <w:rPr>
          <w:lang w:val="en-CA"/>
        </w:rPr>
      </w:pPr>
      <w:r>
        <w:rPr>
          <w:lang w:val="en-CA"/>
        </w:rPr>
        <w:t xml:space="preserve">There are still </w:t>
      </w:r>
      <w:r w:rsidR="005D6EA5">
        <w:rPr>
          <w:lang w:val="en-CA"/>
        </w:rPr>
        <w:t>some</w:t>
      </w:r>
      <w:r>
        <w:rPr>
          <w:lang w:val="en-CA"/>
        </w:rPr>
        <w:t xml:space="preserve"> remaining issues on this topic.</w:t>
      </w:r>
      <w:r w:rsidR="005D6EA5">
        <w:rPr>
          <w:lang w:val="en-CA"/>
        </w:rPr>
        <w:t xml:space="preserve"> </w:t>
      </w:r>
    </w:p>
    <w:p w14:paraId="603A6CB3" w14:textId="7EB723E0" w:rsidR="005D6EA5" w:rsidRDefault="009F6A9B" w:rsidP="00D41441">
      <w:pPr>
        <w:pStyle w:val="af3"/>
        <w:numPr>
          <w:ilvl w:val="0"/>
          <w:numId w:val="6"/>
        </w:numPr>
        <w:jc w:val="both"/>
        <w:rPr>
          <w:lang w:val="en-CA"/>
        </w:rPr>
      </w:pPr>
      <w:r>
        <w:rPr>
          <w:lang w:val="en-CA"/>
        </w:rPr>
        <w:t>How to define the u</w:t>
      </w:r>
      <w:r w:rsidR="005D6EA5" w:rsidRPr="005D6EA5">
        <w:rPr>
          <w:lang w:val="en-CA"/>
        </w:rPr>
        <w:t>nknown FR1 SCell</w:t>
      </w:r>
      <w:r w:rsidR="005D6EA5">
        <w:rPr>
          <w:lang w:val="en-CA"/>
        </w:rPr>
        <w:t xml:space="preserve"> </w:t>
      </w:r>
      <w:r>
        <w:rPr>
          <w:lang w:val="en-CA"/>
        </w:rPr>
        <w:t>which is not accounted for the scaling factor</w:t>
      </w:r>
    </w:p>
    <w:p w14:paraId="7C1C2AD7" w14:textId="246489D6" w:rsidR="005D6EA5" w:rsidRPr="005D6EA5" w:rsidRDefault="005D6EA5" w:rsidP="00D41441">
      <w:pPr>
        <w:pStyle w:val="af3"/>
        <w:numPr>
          <w:ilvl w:val="0"/>
          <w:numId w:val="6"/>
        </w:numPr>
        <w:jc w:val="both"/>
        <w:rPr>
          <w:lang w:val="en-CA"/>
        </w:rPr>
      </w:pPr>
      <w:r>
        <w:rPr>
          <w:lang w:val="en-CA"/>
        </w:rPr>
        <w:t>Searcher definition</w:t>
      </w:r>
    </w:p>
    <w:p w14:paraId="78A926BE" w14:textId="62F13CB9" w:rsidR="005D6EA5" w:rsidRDefault="00687025" w:rsidP="00350DA8">
      <w:pPr>
        <w:jc w:val="both"/>
        <w:rPr>
          <w:lang w:val="en-GB" w:eastAsia="en-US"/>
        </w:rPr>
      </w:pPr>
      <w:r>
        <w:rPr>
          <w:lang w:val="en-GB" w:eastAsia="en-US"/>
        </w:rPr>
        <w:t xml:space="preserve">In FR1, since there is no </w:t>
      </w:r>
      <w:r w:rsidR="00B55B44">
        <w:rPr>
          <w:lang w:val="en-GB" w:eastAsia="en-US"/>
        </w:rPr>
        <w:t xml:space="preserve">tight </w:t>
      </w:r>
      <w:r>
        <w:rPr>
          <w:lang w:val="en-GB" w:eastAsia="en-US"/>
        </w:rPr>
        <w:t xml:space="preserve">restriction on SSBs timing between two intra-band CCs, UE needs additional information to deduce the timing to an unknown FR1 SCell </w:t>
      </w:r>
      <w:r w:rsidR="00B55B44">
        <w:rPr>
          <w:lang w:val="en-GB" w:eastAsia="en-US"/>
        </w:rPr>
        <w:t>by performing additional cell search</w:t>
      </w:r>
      <w:r>
        <w:rPr>
          <w:lang w:val="en-GB" w:eastAsia="en-US"/>
        </w:rPr>
        <w:t xml:space="preserve">. </w:t>
      </w:r>
      <w:r w:rsidR="001E1B0A">
        <w:rPr>
          <w:lang w:val="en-GB" w:eastAsia="en-US"/>
        </w:rPr>
        <w:t>Thus, in current optional solution, an additional TCI state indication will be configured at the same time with the SCell activation MAC PDU. However, some companies believe that there is also no restriction on the configuration of Tx beam from network. The Tx beam</w:t>
      </w:r>
      <w:r w:rsidR="00C7655D">
        <w:rPr>
          <w:lang w:val="en-GB" w:eastAsia="en-US"/>
        </w:rPr>
        <w:t>s</w:t>
      </w:r>
      <w:r w:rsidR="001E1B0A">
        <w:rPr>
          <w:lang w:val="en-GB" w:eastAsia="en-US"/>
        </w:rPr>
        <w:t xml:space="preserve"> of CC1 and CC2 can be different even through their SSB ind</w:t>
      </w:r>
      <w:r w:rsidR="00B55B44">
        <w:rPr>
          <w:lang w:val="en-GB" w:eastAsia="en-US"/>
        </w:rPr>
        <w:t>ices</w:t>
      </w:r>
      <w:r w:rsidR="001E1B0A">
        <w:rPr>
          <w:lang w:val="en-GB" w:eastAsia="en-US"/>
        </w:rPr>
        <w:t xml:space="preserve"> are </w:t>
      </w:r>
      <w:r w:rsidR="001E1B0A">
        <w:rPr>
          <w:lang w:val="en-GB" w:eastAsia="en-US"/>
        </w:rPr>
        <w:lastRenderedPageBreak/>
        <w:t xml:space="preserve">the same. Thus, we think </w:t>
      </w:r>
      <w:r w:rsidR="00C7655D">
        <w:rPr>
          <w:lang w:val="en-GB" w:eastAsia="en-US"/>
        </w:rPr>
        <w:t xml:space="preserve">that </w:t>
      </w:r>
      <w:r w:rsidR="001E1B0A">
        <w:rPr>
          <w:lang w:val="en-GB" w:eastAsia="en-US"/>
        </w:rPr>
        <w:t xml:space="preserve">all the unknown FR1 SCell shall be accounted into the scaling factor N unless network can guarantee the same Tx beam </w:t>
      </w:r>
      <w:r w:rsidR="00B55B44" w:rsidRPr="00B55B44">
        <w:rPr>
          <w:lang w:val="en-GB" w:eastAsia="en-US"/>
        </w:rPr>
        <w:t xml:space="preserve">is used for SSB </w:t>
      </w:r>
      <w:r w:rsidR="001E1B0A">
        <w:rPr>
          <w:lang w:val="en-GB" w:eastAsia="en-US"/>
        </w:rPr>
        <w:t xml:space="preserve">with the same SSB index in FR1 intra-band. </w:t>
      </w:r>
    </w:p>
    <w:p w14:paraId="1D3A805E" w14:textId="5B7C7D71" w:rsidR="005D6EA5" w:rsidRPr="009241C7" w:rsidRDefault="005D6EA5" w:rsidP="00350DA8">
      <w:pPr>
        <w:jc w:val="both"/>
        <w:rPr>
          <w:sz w:val="20"/>
          <w:szCs w:val="20"/>
        </w:rPr>
      </w:pPr>
      <w:bookmarkStart w:id="1" w:name="_Ref36805157"/>
      <w:r w:rsidRPr="009241C7">
        <w:rPr>
          <w:b/>
          <w:i/>
          <w:sz w:val="20"/>
          <w:szCs w:val="20"/>
        </w:rPr>
        <w:t xml:space="preserve">Proposal </w:t>
      </w:r>
      <w:r w:rsidRPr="009241C7">
        <w:rPr>
          <w:b/>
          <w:i/>
          <w:sz w:val="20"/>
          <w:szCs w:val="20"/>
        </w:rPr>
        <w:fldChar w:fldCharType="begin"/>
      </w:r>
      <w:r w:rsidRPr="009241C7">
        <w:rPr>
          <w:b/>
          <w:i/>
          <w:sz w:val="20"/>
          <w:szCs w:val="20"/>
        </w:rPr>
        <w:instrText xml:space="preserve"> SEQ Proposal \* ARABIC </w:instrText>
      </w:r>
      <w:r w:rsidRPr="009241C7">
        <w:rPr>
          <w:b/>
          <w:i/>
          <w:sz w:val="20"/>
          <w:szCs w:val="20"/>
        </w:rPr>
        <w:fldChar w:fldCharType="separate"/>
      </w:r>
      <w:r w:rsidR="00213078">
        <w:rPr>
          <w:b/>
          <w:i/>
          <w:noProof/>
          <w:sz w:val="20"/>
          <w:szCs w:val="20"/>
        </w:rPr>
        <w:t>1</w:t>
      </w:r>
      <w:r w:rsidRPr="009241C7">
        <w:rPr>
          <w:b/>
          <w:i/>
          <w:sz w:val="20"/>
          <w:szCs w:val="20"/>
        </w:rPr>
        <w:fldChar w:fldCharType="end"/>
      </w:r>
      <w:r w:rsidRPr="009241C7">
        <w:rPr>
          <w:b/>
          <w:i/>
          <w:sz w:val="20"/>
          <w:szCs w:val="20"/>
        </w:rPr>
        <w:t>:</w:t>
      </w:r>
      <w:r w:rsidRPr="001E1B0A">
        <w:rPr>
          <w:b/>
          <w:i/>
          <w:sz w:val="20"/>
          <w:szCs w:val="20"/>
        </w:rPr>
        <w:t xml:space="preserve"> </w:t>
      </w:r>
      <w:r w:rsidR="001E1B0A" w:rsidRPr="001E1B0A">
        <w:rPr>
          <w:b/>
          <w:i/>
          <w:sz w:val="20"/>
          <w:szCs w:val="20"/>
        </w:rPr>
        <w:t xml:space="preserve">All the unknown FR1 SCell shall be accounted into the scaling factor N unless network can guarantee the same Tx beam </w:t>
      </w:r>
      <w:r w:rsidR="00B55B44">
        <w:rPr>
          <w:b/>
          <w:i/>
          <w:sz w:val="20"/>
          <w:szCs w:val="20"/>
        </w:rPr>
        <w:t xml:space="preserve">is used for SSB </w:t>
      </w:r>
      <w:r w:rsidR="001E1B0A" w:rsidRPr="001E1B0A">
        <w:rPr>
          <w:b/>
          <w:i/>
          <w:sz w:val="20"/>
          <w:szCs w:val="20"/>
        </w:rPr>
        <w:t>with the same SSB index in FR1 intra-band</w:t>
      </w:r>
      <w:r w:rsidRPr="001E1B0A">
        <w:rPr>
          <w:b/>
          <w:i/>
          <w:sz w:val="20"/>
          <w:szCs w:val="20"/>
        </w:rPr>
        <w:t>.</w:t>
      </w:r>
      <w:bookmarkEnd w:id="1"/>
    </w:p>
    <w:p w14:paraId="74B7667F" w14:textId="7CACC773" w:rsidR="007B04E8" w:rsidRPr="00DA4AD5" w:rsidRDefault="005D6EA5" w:rsidP="00350DA8">
      <w:pPr>
        <w:jc w:val="both"/>
        <w:rPr>
          <w:lang w:val="en-GB" w:eastAsia="en-US"/>
        </w:rPr>
      </w:pPr>
      <w:r w:rsidRPr="00DA4AD5">
        <w:rPr>
          <w:lang w:val="en-GB" w:eastAsia="en-US"/>
        </w:rPr>
        <w:t>Another issue is the definition of “cell detection time”</w:t>
      </w:r>
      <w:r w:rsidR="00B428B7" w:rsidRPr="00DA4AD5">
        <w:rPr>
          <w:lang w:val="en-GB" w:eastAsia="en-US"/>
        </w:rPr>
        <w:t>.</w:t>
      </w:r>
      <w:r w:rsidRPr="00DA4AD5">
        <w:rPr>
          <w:lang w:val="en-GB" w:eastAsia="en-US"/>
        </w:rPr>
        <w:t xml:space="preserve"> </w:t>
      </w:r>
      <w:r w:rsidR="007B04E8" w:rsidRPr="00DA4AD5">
        <w:rPr>
          <w:lang w:val="en-GB" w:eastAsia="en-US"/>
        </w:rPr>
        <w:t>In our understanding, AGC module is independent with cell search modules and the UE only has constraint on the number of searchers. Thus, we suggest to apply the scaling factor on the cell search time only for unknown</w:t>
      </w:r>
      <w:r w:rsidR="00C7655D">
        <w:rPr>
          <w:lang w:val="en-GB" w:eastAsia="en-US"/>
        </w:rPr>
        <w:t xml:space="preserve"> cell</w:t>
      </w:r>
      <w:r w:rsidR="007B04E8" w:rsidRPr="00DA4AD5">
        <w:rPr>
          <w:lang w:val="en-GB" w:eastAsia="en-US"/>
        </w:rPr>
        <w:t xml:space="preserve"> case. </w:t>
      </w:r>
    </w:p>
    <w:p w14:paraId="7B613EB0" w14:textId="77777777" w:rsidR="00B4128C" w:rsidRDefault="007B04E8" w:rsidP="00213078">
      <w:pPr>
        <w:pStyle w:val="af3"/>
        <w:numPr>
          <w:ilvl w:val="0"/>
          <w:numId w:val="9"/>
        </w:numPr>
        <w:jc w:val="both"/>
        <w:rPr>
          <w:lang w:val="en-GB"/>
        </w:rPr>
      </w:pPr>
      <w:r w:rsidRPr="00B4128C">
        <w:rPr>
          <w:lang w:val="en-GB"/>
        </w:rPr>
        <w:t>For FR1 only, the scaling factor will be applied to T</w:t>
      </w:r>
      <w:r w:rsidRPr="00B4128C">
        <w:rPr>
          <w:vertAlign w:val="subscript"/>
          <w:lang w:val="en-GB"/>
        </w:rPr>
        <w:t xml:space="preserve">rs </w:t>
      </w:r>
      <w:r w:rsidRPr="00B4128C">
        <w:rPr>
          <w:lang w:val="en-GB"/>
        </w:rPr>
        <w:t xml:space="preserve">if aggressor cell is a FR1 unknown </w:t>
      </w:r>
      <w:r w:rsidR="00C7655D" w:rsidRPr="00B4128C">
        <w:rPr>
          <w:lang w:val="en-GB"/>
        </w:rPr>
        <w:t>cell</w:t>
      </w:r>
      <w:r w:rsidRPr="00B4128C">
        <w:rPr>
          <w:lang w:val="en-GB"/>
        </w:rPr>
        <w:t xml:space="preserve">; </w:t>
      </w:r>
    </w:p>
    <w:p w14:paraId="724586DB" w14:textId="0C90E0E1" w:rsidR="00B4128C" w:rsidRDefault="00B4128C" w:rsidP="00213078">
      <w:pPr>
        <w:pStyle w:val="af3"/>
        <w:numPr>
          <w:ilvl w:val="0"/>
          <w:numId w:val="9"/>
        </w:numPr>
        <w:jc w:val="both"/>
        <w:rPr>
          <w:lang w:val="en-GB"/>
        </w:rPr>
      </w:pPr>
      <w:r>
        <w:rPr>
          <w:lang w:val="en-GB"/>
        </w:rPr>
        <w:t>F</w:t>
      </w:r>
      <w:r w:rsidR="007B04E8" w:rsidRPr="00B4128C">
        <w:rPr>
          <w:lang w:val="en-GB"/>
        </w:rPr>
        <w:t xml:space="preserve">or </w:t>
      </w:r>
      <w:r w:rsidR="001852ED" w:rsidRPr="00B4128C">
        <w:rPr>
          <w:lang w:val="en-GB"/>
        </w:rPr>
        <w:t xml:space="preserve">FR2 </w:t>
      </w:r>
      <w:r w:rsidR="007B04E8" w:rsidRPr="00B4128C">
        <w:rPr>
          <w:lang w:val="en-GB"/>
        </w:rPr>
        <w:t>only, the scaling factor will be applied to 8T</w:t>
      </w:r>
      <w:r w:rsidR="007B04E8" w:rsidRPr="00B4128C">
        <w:rPr>
          <w:vertAlign w:val="subscript"/>
          <w:lang w:val="en-GB"/>
        </w:rPr>
        <w:t xml:space="preserve">rs </w:t>
      </w:r>
      <w:r w:rsidR="007B04E8" w:rsidRPr="00B4128C">
        <w:rPr>
          <w:lang w:val="en-GB"/>
        </w:rPr>
        <w:t xml:space="preserve">if aggressor cell is a FR2 unknown </w:t>
      </w:r>
      <w:r w:rsidR="00C7655D" w:rsidRPr="00B4128C">
        <w:rPr>
          <w:lang w:val="en-GB"/>
        </w:rPr>
        <w:t>cell</w:t>
      </w:r>
      <w:r w:rsidR="007B04E8" w:rsidRPr="00B4128C">
        <w:rPr>
          <w:lang w:val="en-GB"/>
        </w:rPr>
        <w:t xml:space="preserve">. </w:t>
      </w:r>
    </w:p>
    <w:p w14:paraId="4CB59765" w14:textId="77777777" w:rsidR="00B4128C" w:rsidRDefault="007B04E8" w:rsidP="00213078">
      <w:pPr>
        <w:pStyle w:val="af3"/>
        <w:numPr>
          <w:ilvl w:val="0"/>
          <w:numId w:val="9"/>
        </w:numPr>
        <w:jc w:val="both"/>
        <w:rPr>
          <w:lang w:val="en-GB"/>
        </w:rPr>
      </w:pPr>
      <w:r w:rsidRPr="00B4128C">
        <w:rPr>
          <w:lang w:val="en-GB"/>
        </w:rPr>
        <w:t>For FR1+FR2 case, if the victim cell is FR1 cell, and only the scaling factor N is applied to T</w:t>
      </w:r>
      <w:r w:rsidRPr="00B4128C">
        <w:rPr>
          <w:vertAlign w:val="subscript"/>
          <w:lang w:val="en-GB"/>
        </w:rPr>
        <w:t>rs</w:t>
      </w:r>
      <w:r w:rsidRPr="00B4128C">
        <w:rPr>
          <w:lang w:val="en-GB"/>
        </w:rPr>
        <w:t>, it will implicitly limit UE’s behaviour on executing FR1 search firstly. On the other hand, if the victim cell is FR2 cell, and the scaling factor N is applied to 8T</w:t>
      </w:r>
      <w:r w:rsidRPr="00B4128C">
        <w:rPr>
          <w:vertAlign w:val="subscript"/>
          <w:lang w:val="en-GB"/>
        </w:rPr>
        <w:t>rs</w:t>
      </w:r>
      <w:r w:rsidRPr="00B4128C">
        <w:rPr>
          <w:lang w:val="en-GB"/>
        </w:rPr>
        <w:t xml:space="preserve">, the extension margin is too large for FR2’s requirement. </w:t>
      </w:r>
    </w:p>
    <w:p w14:paraId="7A9B8A5D" w14:textId="6D7DE850" w:rsidR="007B04E8" w:rsidRPr="00B4128C" w:rsidRDefault="007B04E8" w:rsidP="00B4128C">
      <w:pPr>
        <w:jc w:val="both"/>
        <w:rPr>
          <w:lang w:val="en-GB"/>
        </w:rPr>
      </w:pPr>
      <w:r w:rsidRPr="00B4128C">
        <w:rPr>
          <w:lang w:val="en-GB"/>
        </w:rPr>
        <w:t>Thus, we propose</w:t>
      </w:r>
      <w:r w:rsidR="009241C7" w:rsidRPr="00B4128C">
        <w:rPr>
          <w:lang w:val="en-GB"/>
        </w:rPr>
        <w:t xml:space="preserve"> to differentiate the scaling factor with FR1 and FR2 as</w:t>
      </w:r>
      <m:oMath>
        <m:r>
          <m:rPr>
            <m:sty m:val="p"/>
          </m:rPr>
          <w:rPr>
            <w:rFonts w:ascii="Cambria Math" w:hAnsi="Cambria Math" w:cstheme="minorHAnsi"/>
            <w:lang w:val="en-GB"/>
          </w:rPr>
          <m:t xml:space="preserve"> N1∙</m:t>
        </m:r>
        <m:sSub>
          <m:sSubPr>
            <m:ctrlPr>
              <w:rPr>
                <w:rFonts w:ascii="Cambria Math" w:hAnsi="Cambria Math" w:cstheme="minorHAnsi"/>
                <w:lang w:val="en-GB"/>
              </w:rPr>
            </m:ctrlPr>
          </m:sSubPr>
          <m:e>
            <m:r>
              <w:rPr>
                <w:rFonts w:ascii="Cambria Math" w:hAnsi="Cambria Math" w:cstheme="minorHAnsi"/>
                <w:lang w:val="en-GB"/>
              </w:rPr>
              <m:t>T</m:t>
            </m:r>
          </m:e>
          <m:sub>
            <m:r>
              <w:rPr>
                <w:rFonts w:ascii="Cambria Math" w:hAnsi="Cambria Math" w:cstheme="minorHAnsi"/>
                <w:lang w:val="en-GB"/>
              </w:rPr>
              <m:t>rs</m:t>
            </m:r>
          </m:sub>
        </m:sSub>
        <m:r>
          <w:rPr>
            <w:rFonts w:ascii="Cambria Math" w:hAnsi="Cambria Math" w:cstheme="minorHAnsi"/>
            <w:lang w:val="en-GB"/>
          </w:rPr>
          <m:t>+N2∙8</m:t>
        </m:r>
        <m:sSub>
          <m:sSubPr>
            <m:ctrlPr>
              <w:rPr>
                <w:rFonts w:ascii="Cambria Math" w:hAnsi="Cambria Math" w:cstheme="minorHAnsi"/>
                <w:lang w:val="en-GB"/>
              </w:rPr>
            </m:ctrlPr>
          </m:sSubPr>
          <m:e>
            <m:r>
              <w:rPr>
                <w:rFonts w:ascii="Cambria Math" w:hAnsi="Cambria Math" w:cstheme="minorHAnsi"/>
                <w:lang w:val="en-GB"/>
              </w:rPr>
              <m:t>T</m:t>
            </m:r>
          </m:e>
          <m:sub>
            <m:r>
              <w:rPr>
                <w:rFonts w:ascii="Cambria Math" w:hAnsi="Cambria Math" w:cstheme="minorHAnsi"/>
                <w:lang w:val="en-GB"/>
              </w:rPr>
              <m:t>rs</m:t>
            </m:r>
          </m:sub>
        </m:sSub>
      </m:oMath>
      <w:r w:rsidR="009241C7" w:rsidRPr="00B4128C">
        <w:rPr>
          <w:lang w:val="en-GB"/>
        </w:rPr>
        <w:t xml:space="preserve">. </w:t>
      </w:r>
      <w:r w:rsidR="00C7655D" w:rsidRPr="00B4128C">
        <w:rPr>
          <w:lang w:val="en-GB"/>
        </w:rPr>
        <w:t>Here</w:t>
      </w:r>
      <w:r w:rsidR="009241C7" w:rsidRPr="00B4128C">
        <w:rPr>
          <w:lang w:val="en-GB"/>
        </w:rPr>
        <w:t xml:space="preserve">, N1 is the </w:t>
      </w:r>
      <w:r w:rsidR="009241C7" w:rsidRPr="00B4128C">
        <w:rPr>
          <w:lang w:val="en-CA"/>
        </w:rPr>
        <w:t>number of unknown FR1 SCells being activated and N2 is the number of FR2 bands of unknown FR2 SCells being activated.</w:t>
      </w:r>
    </w:p>
    <w:p w14:paraId="6527652B" w14:textId="3763D160" w:rsidR="006D5266" w:rsidRPr="009241C7" w:rsidRDefault="006D5266" w:rsidP="00350DA8">
      <w:pPr>
        <w:jc w:val="both"/>
        <w:rPr>
          <w:b/>
          <w:i/>
          <w:sz w:val="20"/>
          <w:szCs w:val="20"/>
        </w:rPr>
      </w:pPr>
      <w:bookmarkStart w:id="2" w:name="_Ref23498956"/>
      <w:bookmarkStart w:id="3" w:name="_Ref36805333"/>
      <w:r w:rsidRPr="00DA4AD5">
        <w:rPr>
          <w:b/>
          <w:i/>
          <w:sz w:val="20"/>
          <w:szCs w:val="20"/>
        </w:rPr>
        <w:t xml:space="preserve">Proposal </w:t>
      </w:r>
      <w:r w:rsidRPr="00DA4AD5">
        <w:rPr>
          <w:b/>
          <w:i/>
          <w:sz w:val="20"/>
          <w:szCs w:val="20"/>
        </w:rPr>
        <w:fldChar w:fldCharType="begin"/>
      </w:r>
      <w:r w:rsidRPr="00DA4AD5">
        <w:rPr>
          <w:b/>
          <w:i/>
          <w:sz w:val="20"/>
          <w:szCs w:val="20"/>
        </w:rPr>
        <w:instrText xml:space="preserve"> SEQ Proposal \* ARABIC </w:instrText>
      </w:r>
      <w:r w:rsidRPr="00DA4AD5">
        <w:rPr>
          <w:b/>
          <w:i/>
          <w:sz w:val="20"/>
          <w:szCs w:val="20"/>
        </w:rPr>
        <w:fldChar w:fldCharType="separate"/>
      </w:r>
      <w:r w:rsidR="00213078">
        <w:rPr>
          <w:b/>
          <w:i/>
          <w:noProof/>
          <w:sz w:val="20"/>
          <w:szCs w:val="20"/>
        </w:rPr>
        <w:t>2</w:t>
      </w:r>
      <w:r w:rsidRPr="00DA4AD5">
        <w:rPr>
          <w:b/>
          <w:i/>
          <w:sz w:val="20"/>
          <w:szCs w:val="20"/>
        </w:rPr>
        <w:fldChar w:fldCharType="end"/>
      </w:r>
      <w:r w:rsidRPr="00DA4AD5">
        <w:rPr>
          <w:b/>
          <w:i/>
          <w:sz w:val="20"/>
          <w:szCs w:val="20"/>
        </w:rPr>
        <w:t xml:space="preserve">: </w:t>
      </w:r>
      <w:r w:rsidR="008D5D43" w:rsidRPr="00DA4AD5">
        <w:rPr>
          <w:b/>
          <w:i/>
          <w:sz w:val="20"/>
          <w:szCs w:val="20"/>
        </w:rPr>
        <w:t>The scaling factor</w:t>
      </w:r>
      <w:r w:rsidRPr="00DA4AD5">
        <w:rPr>
          <w:b/>
          <w:i/>
          <w:sz w:val="20"/>
          <w:szCs w:val="20"/>
        </w:rPr>
        <w:t xml:space="preserve"> </w:t>
      </w:r>
      <w:r w:rsidR="00B428B7" w:rsidRPr="00DA4AD5">
        <w:rPr>
          <w:b/>
          <w:i/>
          <w:sz w:val="20"/>
          <w:szCs w:val="20"/>
        </w:rPr>
        <w:t xml:space="preserve">N shall be </w:t>
      </w:r>
      <w:r w:rsidR="008D5D43" w:rsidRPr="00DA4AD5">
        <w:rPr>
          <w:b/>
          <w:i/>
          <w:sz w:val="20"/>
          <w:szCs w:val="20"/>
        </w:rPr>
        <w:t>applied to cell search</w:t>
      </w:r>
      <w:r w:rsidR="009241C7" w:rsidRPr="00DA4AD5">
        <w:rPr>
          <w:b/>
          <w:i/>
          <w:sz w:val="20"/>
          <w:szCs w:val="20"/>
        </w:rPr>
        <w:t xml:space="preserve"> only</w:t>
      </w:r>
      <w:r w:rsidR="0054239D" w:rsidRPr="00DA4AD5">
        <w:rPr>
          <w:b/>
          <w:i/>
          <w:sz w:val="20"/>
          <w:szCs w:val="20"/>
        </w:rPr>
        <w:t>.</w:t>
      </w:r>
      <w:bookmarkEnd w:id="2"/>
      <w:r w:rsidR="008D5D43" w:rsidRPr="00DA4AD5">
        <w:rPr>
          <w:b/>
          <w:i/>
          <w:sz w:val="20"/>
          <w:szCs w:val="20"/>
        </w:rPr>
        <w:t xml:space="preserve"> </w:t>
      </w:r>
      <w:r w:rsidR="00B4128C">
        <w:rPr>
          <w:b/>
          <w:i/>
          <w:sz w:val="20"/>
          <w:szCs w:val="20"/>
          <w:lang w:val="en-GB" w:eastAsia="en-US"/>
        </w:rPr>
        <w:t>The</w:t>
      </w:r>
      <w:r w:rsidR="009241C7" w:rsidRPr="00DA4AD5">
        <w:rPr>
          <w:b/>
          <w:i/>
          <w:sz w:val="20"/>
          <w:szCs w:val="20"/>
          <w:lang w:val="en-GB" w:eastAsia="en-US"/>
        </w:rPr>
        <w:t xml:space="preserve"> </w:t>
      </w:r>
      <w:r w:rsidR="00B4128C" w:rsidRPr="00DA4AD5">
        <w:rPr>
          <w:b/>
          <w:i/>
          <w:sz w:val="20"/>
          <w:szCs w:val="20"/>
          <w:lang w:val="en-GB" w:eastAsia="en-US"/>
        </w:rPr>
        <w:t>exten</w:t>
      </w:r>
      <w:r w:rsidR="00B4128C">
        <w:rPr>
          <w:b/>
          <w:i/>
          <w:sz w:val="20"/>
          <w:szCs w:val="20"/>
          <w:lang w:val="en-GB" w:eastAsia="en-US"/>
        </w:rPr>
        <w:t>ded</w:t>
      </w:r>
      <w:r w:rsidR="00B4128C" w:rsidRPr="00DA4AD5">
        <w:rPr>
          <w:b/>
          <w:i/>
          <w:sz w:val="20"/>
          <w:szCs w:val="20"/>
          <w:lang w:val="en-GB" w:eastAsia="en-US"/>
        </w:rPr>
        <w:t xml:space="preserve"> </w:t>
      </w:r>
      <w:r w:rsidR="009241C7" w:rsidRPr="00DA4AD5">
        <w:rPr>
          <w:b/>
          <w:i/>
          <w:sz w:val="20"/>
          <w:szCs w:val="20"/>
          <w:lang w:val="en-GB" w:eastAsia="en-US"/>
        </w:rPr>
        <w:t xml:space="preserve">delay </w:t>
      </w:r>
      <w:r w:rsidR="00B4128C">
        <w:rPr>
          <w:b/>
          <w:i/>
          <w:sz w:val="20"/>
          <w:szCs w:val="20"/>
          <w:lang w:val="en-GB" w:eastAsia="en-US"/>
        </w:rPr>
        <w:t>is</w:t>
      </w:r>
      <w:r w:rsidR="009241C7" w:rsidRPr="00DA4AD5">
        <w:rPr>
          <w:b/>
          <w:i/>
          <w:sz w:val="20"/>
          <w:szCs w:val="20"/>
          <w:lang w:val="en-GB" w:eastAsia="en-US"/>
        </w:rPr>
        <w:t xml:space="preserve"> </w:t>
      </w:r>
      <m:oMath>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1∙</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2∙8</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oMath>
      <w:r w:rsidR="00C7655D">
        <w:rPr>
          <w:b/>
          <w:i/>
          <w:sz w:val="20"/>
          <w:szCs w:val="20"/>
          <w:lang w:val="en-GB" w:eastAsia="en-US"/>
        </w:rPr>
        <w:t xml:space="preserve"> </w:t>
      </w:r>
      <w:r w:rsidR="00B4128C">
        <w:rPr>
          <w:b/>
          <w:i/>
          <w:sz w:val="20"/>
          <w:szCs w:val="20"/>
          <w:lang w:val="en-GB" w:eastAsia="en-US"/>
        </w:rPr>
        <w:t>, where</w:t>
      </w:r>
      <w:r w:rsidR="00C7655D">
        <w:rPr>
          <w:b/>
          <w:i/>
          <w:sz w:val="20"/>
          <w:szCs w:val="20"/>
          <w:lang w:val="en-GB" w:eastAsia="en-US"/>
        </w:rPr>
        <w:t xml:space="preserve"> </w:t>
      </w:r>
      <w:r w:rsidR="009241C7" w:rsidRPr="00DA4AD5">
        <w:rPr>
          <w:b/>
          <w:i/>
          <w:sz w:val="20"/>
          <w:szCs w:val="20"/>
          <w:lang w:val="en-GB" w:eastAsia="en-US"/>
        </w:rPr>
        <w:t xml:space="preserve">N1 is the </w:t>
      </w:r>
      <w:r w:rsidR="009241C7" w:rsidRPr="00DA4AD5">
        <w:rPr>
          <w:b/>
          <w:i/>
          <w:sz w:val="20"/>
          <w:szCs w:val="20"/>
          <w:lang w:val="en-CA"/>
        </w:rPr>
        <w:t>number of unknown FR1 SCells being activated that are non-contiguous to FR1 known cell or FR1 active serving cell</w:t>
      </w:r>
      <w:r w:rsidR="00C7655D">
        <w:rPr>
          <w:b/>
          <w:i/>
          <w:sz w:val="20"/>
          <w:szCs w:val="20"/>
          <w:lang w:val="en-CA"/>
        </w:rPr>
        <w:t>,</w:t>
      </w:r>
      <w:r w:rsidR="009241C7" w:rsidRPr="00DA4AD5">
        <w:rPr>
          <w:b/>
          <w:i/>
          <w:sz w:val="20"/>
          <w:szCs w:val="20"/>
          <w:lang w:val="en-CA"/>
        </w:rPr>
        <w:t xml:space="preserve"> and N2 is the number of FR2 bands with unknown FR2 SCells being activated only</w:t>
      </w:r>
      <w:r w:rsidR="008D5D43" w:rsidRPr="00DA4AD5">
        <w:rPr>
          <w:b/>
          <w:i/>
          <w:sz w:val="20"/>
          <w:szCs w:val="20"/>
          <w:lang w:val="en-GB" w:eastAsia="en-US"/>
        </w:rPr>
        <w:t>.</w:t>
      </w:r>
      <w:bookmarkEnd w:id="3"/>
      <w:r w:rsidR="00F62854" w:rsidRPr="009241C7">
        <w:rPr>
          <w:b/>
          <w:i/>
          <w:sz w:val="20"/>
          <w:szCs w:val="20"/>
        </w:rPr>
        <w:t xml:space="preserve"> </w:t>
      </w:r>
    </w:p>
    <w:p w14:paraId="4C05C939" w14:textId="7F746402" w:rsidR="00504BB0" w:rsidRPr="0045644F" w:rsidRDefault="008D5D43" w:rsidP="00D41441">
      <w:pPr>
        <w:pStyle w:val="1"/>
        <w:numPr>
          <w:ilvl w:val="0"/>
          <w:numId w:val="1"/>
        </w:numPr>
        <w:jc w:val="both"/>
        <w:rPr>
          <w:rFonts w:ascii="Calibri" w:hAnsi="Calibri"/>
        </w:rPr>
      </w:pPr>
      <w:r w:rsidRPr="0045644F">
        <w:rPr>
          <w:rFonts w:ascii="Calibri" w:hAnsi="Calibri"/>
        </w:rPr>
        <w:t>Requirement for m</w:t>
      </w:r>
      <w:r w:rsidR="00A24FB5" w:rsidRPr="0045644F">
        <w:rPr>
          <w:rFonts w:ascii="Calibri" w:hAnsi="Calibri"/>
        </w:rPr>
        <w:t>ultiple SCell Activation</w:t>
      </w:r>
      <w:r w:rsidR="005C74E1" w:rsidRPr="0045644F">
        <w:rPr>
          <w:rFonts w:ascii="Calibri" w:hAnsi="Calibri"/>
        </w:rPr>
        <w:t xml:space="preserve"> </w:t>
      </w:r>
      <w:r w:rsidR="00504BB0" w:rsidRPr="0045644F">
        <w:rPr>
          <w:rFonts w:ascii="Calibri" w:hAnsi="Calibri"/>
        </w:rPr>
        <w:t xml:space="preserve"> </w:t>
      </w:r>
    </w:p>
    <w:p w14:paraId="79EAFD9E" w14:textId="1EC74CB3" w:rsidR="00294266" w:rsidRDefault="00294266" w:rsidP="00D41441">
      <w:pPr>
        <w:pStyle w:val="1"/>
        <w:numPr>
          <w:ilvl w:val="1"/>
          <w:numId w:val="1"/>
        </w:numPr>
        <w:jc w:val="both"/>
        <w:rPr>
          <w:rFonts w:ascii="Calibri" w:hAnsi="Calibri"/>
        </w:rPr>
      </w:pPr>
      <w:r>
        <w:rPr>
          <w:rFonts w:ascii="Calibri" w:hAnsi="Calibri"/>
        </w:rPr>
        <w:t>NR-SA, EN-DC, NE-DC</w:t>
      </w:r>
    </w:p>
    <w:p w14:paraId="428A91B3" w14:textId="4EC38152" w:rsidR="008D3529" w:rsidRDefault="002506C3" w:rsidP="00350DA8">
      <w:pPr>
        <w:jc w:val="both"/>
      </w:pPr>
      <w:r w:rsidRPr="002506C3">
        <w:rPr>
          <w:lang w:eastAsia="en-US"/>
        </w:rPr>
        <w:t xml:space="preserve">In EN-DC, NE-DC, NR SA, </w:t>
      </w:r>
      <w:r>
        <w:rPr>
          <w:lang w:eastAsia="en-US"/>
        </w:rPr>
        <w:t xml:space="preserve">it was agreed that </w:t>
      </w:r>
      <w:r w:rsidRPr="002506C3">
        <w:rPr>
          <w:lang w:eastAsia="en-US"/>
        </w:rPr>
        <w:t>RAN4 will define requirements only for the case where a single MAC command is used to activate multiple SCells</w:t>
      </w:r>
      <w:r>
        <w:rPr>
          <w:lang w:eastAsia="en-US"/>
        </w:rPr>
        <w:t xml:space="preserve">. </w:t>
      </w:r>
      <w:r w:rsidR="008D3529">
        <w:t>As we discussed before, owing to only one</w:t>
      </w:r>
      <w:r w:rsidR="008D3529" w:rsidRPr="00406A18">
        <w:t xml:space="preserve"> </w:t>
      </w:r>
      <w:r w:rsidR="008D3529" w:rsidRPr="00057FCE">
        <w:t>MAC command</w:t>
      </w:r>
      <w:r w:rsidR="008D3529">
        <w:t xml:space="preserve"> for multiple SCells activation, </w:t>
      </w:r>
      <w:r w:rsidR="008D3529" w:rsidRPr="00883481">
        <w:t xml:space="preserve">UE can schedule the RF retuning occasion to </w:t>
      </w:r>
      <w:r w:rsidR="008D3529" w:rsidRPr="008D3529">
        <w:rPr>
          <w:lang w:val="en-CA"/>
        </w:rPr>
        <w:t xml:space="preserve">align on time domain among multiple being-activated SCells </w:t>
      </w:r>
      <w:r w:rsidR="008D3529">
        <w:rPr>
          <w:lang w:val="en-CA"/>
        </w:rPr>
        <w:t xml:space="preserve">to </w:t>
      </w:r>
      <w:r w:rsidR="008D3529" w:rsidRPr="00883481">
        <w:t xml:space="preserve">avoid the collision with RS’s occasion </w:t>
      </w:r>
      <w:r w:rsidR="008D3529" w:rsidRPr="00B11A98">
        <w:t xml:space="preserve">in </w:t>
      </w:r>
      <w:r w:rsidR="008D3529">
        <w:t xml:space="preserve">each CG. </w:t>
      </w:r>
      <w:r w:rsidR="0006541C">
        <w:t>Thus, we think there is no additional interruption and delay extension is needed.</w:t>
      </w:r>
    </w:p>
    <w:p w14:paraId="74C1A68E" w14:textId="3D44F59D" w:rsidR="001552A2" w:rsidRDefault="001552A2" w:rsidP="00350DA8">
      <w:pPr>
        <w:jc w:val="both"/>
      </w:pPr>
      <w:r>
        <w:t xml:space="preserve">Actually, in legacy LTE multiple SCell activation, </w:t>
      </w:r>
      <w:r w:rsidR="0006541C">
        <w:t xml:space="preserve">the number of </w:t>
      </w:r>
      <w:r>
        <w:t xml:space="preserve">interruption was already </w:t>
      </w:r>
      <w:r w:rsidR="0006541C">
        <w:t>limited to only once</w:t>
      </w:r>
      <w:r>
        <w:t xml:space="preserve"> when multiple SCells activation with one MAC command. </w:t>
      </w:r>
    </w:p>
    <w:tbl>
      <w:tblPr>
        <w:tblStyle w:val="af4"/>
        <w:tblW w:w="0" w:type="auto"/>
        <w:tblLook w:val="04A0" w:firstRow="1" w:lastRow="0" w:firstColumn="1" w:lastColumn="0" w:noHBand="0" w:noVBand="1"/>
      </w:tblPr>
      <w:tblGrid>
        <w:gridCol w:w="9629"/>
      </w:tblGrid>
      <w:tr w:rsidR="001552A2" w14:paraId="2ACF920C" w14:textId="77777777" w:rsidTr="001552A2">
        <w:tc>
          <w:tcPr>
            <w:tcW w:w="9629" w:type="dxa"/>
          </w:tcPr>
          <w:p w14:paraId="3C4C0B2F" w14:textId="7A7267C5" w:rsidR="001552A2" w:rsidRDefault="001552A2" w:rsidP="00350DA8">
            <w:pPr>
              <w:jc w:val="both"/>
            </w:pPr>
            <w:r>
              <w:t>TS36.133 7.8.2.8</w:t>
            </w:r>
          </w:p>
          <w:p w14:paraId="146ECCB2" w14:textId="77777777" w:rsidR="001552A2" w:rsidRPr="0089796C" w:rsidRDefault="001552A2" w:rsidP="001552A2">
            <w:pPr>
              <w:spacing w:after="0" w:line="240" w:lineRule="auto"/>
            </w:pPr>
            <w:r w:rsidRPr="0089796C">
              <w:rPr>
                <w:rFonts w:hint="eastAsia"/>
              </w:rPr>
              <w:t xml:space="preserve">When </w:t>
            </w:r>
            <w:r w:rsidRPr="0089796C">
              <w:t>any number of</w:t>
            </w:r>
            <w:r w:rsidRPr="0089796C">
              <w:rPr>
                <w:rFonts w:hint="eastAsia"/>
              </w:rPr>
              <w:t xml:space="preserve"> SCell</w:t>
            </w:r>
            <w:r w:rsidRPr="0089796C">
              <w:t>s between one and six</w:t>
            </w:r>
            <w:r w:rsidRPr="0089796C">
              <w:rPr>
                <w:rFonts w:hint="eastAsia"/>
              </w:rPr>
              <w:t xml:space="preserve"> is activated or deactivated </w:t>
            </w:r>
            <w:r w:rsidRPr="0089796C">
              <w:t xml:space="preserve">using </w:t>
            </w:r>
            <w:r w:rsidRPr="001552A2">
              <w:rPr>
                <w:highlight w:val="yellow"/>
              </w:rPr>
              <w:t>the same MAC control element</w:t>
            </w:r>
            <w:r w:rsidRPr="0089796C">
              <w:t xml:space="preserve"> </w:t>
            </w:r>
            <w:r w:rsidRPr="0089796C">
              <w:rPr>
                <w:rFonts w:hint="eastAsia"/>
              </w:rPr>
              <w:t>as defined in [</w:t>
            </w:r>
            <w:r w:rsidRPr="0089796C">
              <w:t>17</w:t>
            </w:r>
            <w:r w:rsidRPr="0089796C">
              <w:rPr>
                <w:rFonts w:hint="eastAsia"/>
              </w:rPr>
              <w:t>]</w:t>
            </w:r>
            <w:r w:rsidRPr="0089796C">
              <w:t>,</w:t>
            </w:r>
            <w:r w:rsidRPr="0089796C">
              <w:rPr>
                <w:rFonts w:hint="eastAsia"/>
              </w:rPr>
              <w:t xml:space="preserve"> the UE is </w:t>
            </w:r>
            <w:r w:rsidRPr="001552A2">
              <w:rPr>
                <w:rFonts w:hint="eastAsia"/>
                <w:highlight w:val="yellow"/>
              </w:rPr>
              <w:t xml:space="preserve">allowed </w:t>
            </w:r>
            <w:r w:rsidRPr="001552A2">
              <w:rPr>
                <w:highlight w:val="yellow"/>
              </w:rPr>
              <w:t>an interruption on PCell and on any activated SCell</w:t>
            </w:r>
            <w:r w:rsidRPr="0089796C">
              <w:t xml:space="preserve"> </w:t>
            </w:r>
            <w:r w:rsidRPr="0089796C">
              <w:rPr>
                <w:rFonts w:hint="eastAsia"/>
              </w:rPr>
              <w:t xml:space="preserve">during the </w:t>
            </w:r>
            <w:r w:rsidRPr="0089796C">
              <w:t xml:space="preserve">SCell </w:t>
            </w:r>
            <w:r w:rsidRPr="0089796C">
              <w:rPr>
                <w:rFonts w:hint="eastAsia"/>
              </w:rPr>
              <w:t>activation/deactivation procedure [</w:t>
            </w:r>
            <w:r w:rsidRPr="0089796C">
              <w:t>17</w:t>
            </w:r>
            <w:r w:rsidRPr="0089796C">
              <w:rPr>
                <w:rFonts w:hint="eastAsia"/>
              </w:rPr>
              <w:t>]</w:t>
            </w:r>
            <w:r w:rsidRPr="0089796C">
              <w:t xml:space="preserve"> as follows:</w:t>
            </w:r>
          </w:p>
          <w:p w14:paraId="79AF73AB" w14:textId="77777777" w:rsidR="001552A2" w:rsidRPr="0089796C" w:rsidRDefault="001552A2" w:rsidP="001552A2">
            <w:pPr>
              <w:pStyle w:val="B1"/>
              <w:spacing w:after="0" w:line="240" w:lineRule="auto"/>
            </w:pPr>
            <w:r w:rsidRPr="0089796C">
              <w:t>-</w:t>
            </w:r>
            <w:r w:rsidRPr="0089796C">
              <w:tab/>
            </w:r>
            <w:r w:rsidRPr="0089796C">
              <w:rPr>
                <w:rFonts w:hint="eastAsia"/>
              </w:rPr>
              <w:t>an interruption on PCell</w:t>
            </w:r>
            <w:r w:rsidRPr="0089796C">
              <w:t>:</w:t>
            </w:r>
          </w:p>
          <w:p w14:paraId="5AF5715D" w14:textId="77777777" w:rsidR="001552A2" w:rsidRPr="0089796C" w:rsidRDefault="001552A2" w:rsidP="001552A2">
            <w:pPr>
              <w:pStyle w:val="B2"/>
              <w:spacing w:after="0" w:line="240" w:lineRule="auto"/>
            </w:pPr>
            <w:r w:rsidRPr="0089796C">
              <w:t>-</w:t>
            </w:r>
            <w:r w:rsidRPr="0089796C">
              <w:tab/>
            </w:r>
            <w:r w:rsidRPr="0089796C">
              <w:rPr>
                <w:rFonts w:hint="eastAsia"/>
              </w:rPr>
              <w:t xml:space="preserve">of up to </w:t>
            </w:r>
            <w:r w:rsidRPr="0089796C">
              <w:t>1</w:t>
            </w:r>
            <w:r w:rsidRPr="0089796C">
              <w:rPr>
                <w:rFonts w:hint="eastAsia"/>
              </w:rPr>
              <w:t xml:space="preserve"> subframe</w:t>
            </w:r>
            <w:r w:rsidRPr="0089796C">
              <w:t>,</w:t>
            </w:r>
            <w:r w:rsidRPr="0089796C">
              <w:rPr>
                <w:rFonts w:hint="eastAsia"/>
              </w:rPr>
              <w:t xml:space="preserve"> </w:t>
            </w:r>
            <w:r w:rsidRPr="0089796C">
              <w:t>if the PCell is not in the same band as any of the SCells being activated or deactivated, or</w:t>
            </w:r>
          </w:p>
          <w:p w14:paraId="150ADB93" w14:textId="77777777" w:rsidR="001552A2" w:rsidRPr="0089796C" w:rsidRDefault="001552A2" w:rsidP="001552A2">
            <w:pPr>
              <w:pStyle w:val="B2"/>
              <w:spacing w:after="0" w:line="240" w:lineRule="auto"/>
            </w:pPr>
            <w:r w:rsidRPr="0089796C">
              <w:t>-</w:t>
            </w:r>
            <w:r w:rsidRPr="0089796C">
              <w:tab/>
            </w:r>
            <w:r w:rsidRPr="0089796C">
              <w:rPr>
                <w:rFonts w:hint="eastAsia"/>
              </w:rPr>
              <w:t>of up to 5 subframes</w:t>
            </w:r>
            <w:r w:rsidRPr="0089796C">
              <w:t>,</w:t>
            </w:r>
            <w:r w:rsidRPr="0089796C">
              <w:rPr>
                <w:rFonts w:hint="eastAsia"/>
              </w:rPr>
              <w:t xml:space="preserve"> </w:t>
            </w:r>
            <w:r w:rsidRPr="0089796C">
              <w:t>if the PCell is in the same band as any of the SCells being activated or deactivated;</w:t>
            </w:r>
          </w:p>
          <w:p w14:paraId="5C964143" w14:textId="77777777" w:rsidR="001552A2" w:rsidRPr="0089796C" w:rsidRDefault="001552A2" w:rsidP="001552A2">
            <w:pPr>
              <w:pStyle w:val="B1"/>
              <w:spacing w:after="0" w:line="240" w:lineRule="auto"/>
            </w:pPr>
            <w:r w:rsidRPr="0089796C">
              <w:t>-</w:t>
            </w:r>
            <w:r w:rsidRPr="0089796C">
              <w:tab/>
            </w:r>
            <w:r w:rsidRPr="0089796C">
              <w:rPr>
                <w:rFonts w:hint="eastAsia"/>
              </w:rPr>
              <w:t xml:space="preserve">an interruption on </w:t>
            </w:r>
            <w:r w:rsidRPr="0089796C">
              <w:t xml:space="preserve">any activated SCell: </w:t>
            </w:r>
          </w:p>
          <w:p w14:paraId="0B527D49" w14:textId="77777777" w:rsidR="001552A2" w:rsidRPr="0089796C" w:rsidRDefault="001552A2" w:rsidP="001552A2">
            <w:pPr>
              <w:pStyle w:val="B2"/>
              <w:spacing w:after="0" w:line="240" w:lineRule="auto"/>
            </w:pPr>
            <w:r w:rsidRPr="0089796C">
              <w:t>-</w:t>
            </w:r>
            <w:r w:rsidRPr="0089796C">
              <w:tab/>
            </w:r>
            <w:r w:rsidRPr="0089796C">
              <w:rPr>
                <w:rFonts w:hint="eastAsia"/>
              </w:rPr>
              <w:t xml:space="preserve">of up to </w:t>
            </w:r>
            <w:r w:rsidRPr="0089796C">
              <w:t>1</w:t>
            </w:r>
            <w:r w:rsidRPr="0089796C">
              <w:rPr>
                <w:rFonts w:hint="eastAsia"/>
              </w:rPr>
              <w:t xml:space="preserve"> subframe</w:t>
            </w:r>
            <w:r w:rsidRPr="0089796C">
              <w:t>,</w:t>
            </w:r>
            <w:r w:rsidRPr="0089796C">
              <w:rPr>
                <w:rFonts w:hint="eastAsia"/>
              </w:rPr>
              <w:t xml:space="preserve"> </w:t>
            </w:r>
            <w:r w:rsidRPr="0089796C">
              <w:t>if the activated SCell is not in the same band as any of the SCells being activated or deactivated, or</w:t>
            </w:r>
          </w:p>
          <w:p w14:paraId="487AD1CD" w14:textId="03FF6DAE" w:rsidR="001552A2" w:rsidRDefault="001552A2" w:rsidP="001552A2">
            <w:pPr>
              <w:pStyle w:val="B2"/>
              <w:spacing w:after="0" w:line="240" w:lineRule="auto"/>
            </w:pPr>
            <w:r w:rsidRPr="0089796C">
              <w:t>-</w:t>
            </w:r>
            <w:r w:rsidRPr="0089796C">
              <w:tab/>
            </w:r>
            <w:r w:rsidRPr="0089796C">
              <w:rPr>
                <w:rFonts w:hint="eastAsia"/>
              </w:rPr>
              <w:t>of up to 5 subframes</w:t>
            </w:r>
            <w:r w:rsidRPr="0089796C">
              <w:t>,</w:t>
            </w:r>
            <w:r w:rsidRPr="0089796C">
              <w:rPr>
                <w:rFonts w:hint="eastAsia"/>
              </w:rPr>
              <w:t xml:space="preserve"> </w:t>
            </w:r>
            <w:r w:rsidRPr="0089796C">
              <w:t>if the activated SCell is in the same band as any of the SCells being activated or deactivated.</w:t>
            </w:r>
            <w:r>
              <w:t xml:space="preserve"> </w:t>
            </w:r>
          </w:p>
        </w:tc>
      </w:tr>
    </w:tbl>
    <w:p w14:paraId="7A767D19" w14:textId="441F799E" w:rsidR="001552A2" w:rsidRDefault="001552A2" w:rsidP="00350DA8">
      <w:pPr>
        <w:jc w:val="both"/>
      </w:pPr>
      <w:r>
        <w:lastRenderedPageBreak/>
        <w:t xml:space="preserve"> </w:t>
      </w:r>
    </w:p>
    <w:p w14:paraId="645818CF" w14:textId="49BD5DD3" w:rsidR="008D3529" w:rsidRPr="00350DA8" w:rsidRDefault="008D3529" w:rsidP="00350DA8">
      <w:pPr>
        <w:jc w:val="both"/>
        <w:rPr>
          <w:sz w:val="20"/>
          <w:szCs w:val="20"/>
          <w:lang w:eastAsia="en-US"/>
        </w:rPr>
      </w:pPr>
      <w:bookmarkStart w:id="4" w:name="_Ref36805175"/>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213078">
        <w:rPr>
          <w:b/>
          <w:i/>
          <w:noProof/>
          <w:sz w:val="20"/>
          <w:szCs w:val="20"/>
        </w:rPr>
        <w:t>3</w:t>
      </w:r>
      <w:r w:rsidRPr="00350DA8">
        <w:rPr>
          <w:b/>
          <w:i/>
          <w:sz w:val="20"/>
          <w:szCs w:val="20"/>
        </w:rPr>
        <w:fldChar w:fldCharType="end"/>
      </w:r>
      <w:r w:rsidRPr="00350DA8">
        <w:rPr>
          <w:b/>
          <w:i/>
          <w:sz w:val="20"/>
          <w:szCs w:val="20"/>
        </w:rPr>
        <w:t xml:space="preserve">: </w:t>
      </w:r>
      <w:r w:rsidR="0045644F">
        <w:rPr>
          <w:b/>
          <w:i/>
          <w:sz w:val="20"/>
          <w:szCs w:val="20"/>
        </w:rPr>
        <w:t xml:space="preserve">When only one MAC command for multiple SCells activation, </w:t>
      </w:r>
      <w:r w:rsidRPr="00350DA8">
        <w:rPr>
          <w:b/>
          <w:i/>
          <w:sz w:val="20"/>
          <w:szCs w:val="20"/>
        </w:rPr>
        <w:t>UE can schedule the RF retuning occasion to align on time. Only one interruption happens in each CG.</w:t>
      </w:r>
      <w:bookmarkEnd w:id="4"/>
    </w:p>
    <w:p w14:paraId="5CFB599A" w14:textId="59045E83" w:rsidR="002506C3" w:rsidRDefault="002506C3" w:rsidP="00350DA8">
      <w:pPr>
        <w:jc w:val="both"/>
        <w:rPr>
          <w:lang w:eastAsia="en-US"/>
        </w:rPr>
      </w:pPr>
      <w:r>
        <w:rPr>
          <w:lang w:eastAsia="en-US"/>
        </w:rPr>
        <w:t>The type of victim SCell and aggressor SCell can be</w:t>
      </w:r>
    </w:p>
    <w:p w14:paraId="441864E4" w14:textId="16271F81" w:rsidR="002506C3" w:rsidRDefault="002506C3" w:rsidP="00D41441">
      <w:pPr>
        <w:pStyle w:val="af3"/>
        <w:numPr>
          <w:ilvl w:val="0"/>
          <w:numId w:val="7"/>
        </w:numPr>
        <w:jc w:val="both"/>
        <w:rPr>
          <w:lang w:val="en-GB"/>
        </w:rPr>
      </w:pPr>
      <w:r>
        <w:rPr>
          <w:lang w:val="en-GB"/>
        </w:rPr>
        <w:t xml:space="preserve">Intra-band FR1 </w:t>
      </w:r>
    </w:p>
    <w:p w14:paraId="38B5E649" w14:textId="24ACC7A6" w:rsidR="002506C3" w:rsidRDefault="002506C3" w:rsidP="00D41441">
      <w:pPr>
        <w:pStyle w:val="af3"/>
        <w:numPr>
          <w:ilvl w:val="0"/>
          <w:numId w:val="7"/>
        </w:numPr>
        <w:jc w:val="both"/>
        <w:rPr>
          <w:lang w:val="en-GB"/>
        </w:rPr>
      </w:pPr>
      <w:r>
        <w:rPr>
          <w:lang w:val="en-GB"/>
        </w:rPr>
        <w:t>Inter-band FR1</w:t>
      </w:r>
    </w:p>
    <w:p w14:paraId="65A57B3D" w14:textId="32647590" w:rsidR="002506C3" w:rsidRDefault="002506C3" w:rsidP="00D41441">
      <w:pPr>
        <w:pStyle w:val="af3"/>
        <w:numPr>
          <w:ilvl w:val="0"/>
          <w:numId w:val="7"/>
        </w:numPr>
        <w:jc w:val="both"/>
        <w:rPr>
          <w:lang w:val="en-GB"/>
        </w:rPr>
      </w:pPr>
      <w:r>
        <w:rPr>
          <w:lang w:val="en-GB"/>
        </w:rPr>
        <w:t>Intra-band FR2</w:t>
      </w:r>
    </w:p>
    <w:p w14:paraId="79D3189F" w14:textId="52FEDB12" w:rsidR="002506C3" w:rsidRDefault="002506C3" w:rsidP="00D41441">
      <w:pPr>
        <w:pStyle w:val="af3"/>
        <w:numPr>
          <w:ilvl w:val="0"/>
          <w:numId w:val="7"/>
        </w:numPr>
        <w:jc w:val="both"/>
        <w:rPr>
          <w:lang w:val="en-GB"/>
        </w:rPr>
      </w:pPr>
      <w:r>
        <w:rPr>
          <w:lang w:val="en-GB"/>
        </w:rPr>
        <w:t>Inter-band FR2</w:t>
      </w:r>
    </w:p>
    <w:p w14:paraId="00C55367" w14:textId="77777777" w:rsidR="0045644F" w:rsidRDefault="002506C3" w:rsidP="00D41441">
      <w:pPr>
        <w:pStyle w:val="af3"/>
        <w:numPr>
          <w:ilvl w:val="0"/>
          <w:numId w:val="7"/>
        </w:numPr>
        <w:jc w:val="both"/>
        <w:rPr>
          <w:lang w:val="en-GB"/>
        </w:rPr>
      </w:pPr>
      <w:r>
        <w:rPr>
          <w:lang w:val="en-GB"/>
        </w:rPr>
        <w:t>FR1+FR2</w:t>
      </w:r>
    </w:p>
    <w:p w14:paraId="115EE79C" w14:textId="3C0A8962" w:rsidR="002506C3" w:rsidRDefault="0045644F" w:rsidP="00350DA8">
      <w:pPr>
        <w:jc w:val="both"/>
        <w:rPr>
          <w:lang w:val="en-GB" w:eastAsia="en-US"/>
        </w:rPr>
      </w:pPr>
      <w:r>
        <w:rPr>
          <w:lang w:val="en-GB"/>
        </w:rPr>
        <w:t>Since the Intra-band/Inter-band FR2 and FR1+FR2 cases were already agreed in last meeting, we will only focus on Intra-band FR1 and Inter-band FR1 scenario.</w:t>
      </w:r>
      <w:r w:rsidR="002506C3" w:rsidRPr="0045644F">
        <w:rPr>
          <w:lang w:val="en-GB"/>
        </w:rPr>
        <w:t xml:space="preserve"> </w:t>
      </w:r>
      <w:r w:rsidR="008D3529">
        <w:rPr>
          <w:lang w:val="en-GB" w:eastAsia="en-US"/>
        </w:rPr>
        <w:t>If victim SCell and aggressor SCell are intra-band FR1 cells, each SCell can be the following cases respectively.</w:t>
      </w:r>
    </w:p>
    <w:p w14:paraId="1686CF93" w14:textId="063D4F62" w:rsidR="008D3529" w:rsidRPr="008D3529" w:rsidRDefault="008D3529" w:rsidP="00D41441">
      <w:pPr>
        <w:pStyle w:val="af3"/>
        <w:numPr>
          <w:ilvl w:val="0"/>
          <w:numId w:val="8"/>
        </w:numPr>
        <w:jc w:val="both"/>
      </w:pPr>
      <w:r w:rsidRPr="008D3529">
        <w:t>Know</w:t>
      </w:r>
      <w:r>
        <w:t>n</w:t>
      </w:r>
      <w:r w:rsidRPr="008D3529">
        <w:t xml:space="preserve"> cell</w:t>
      </w:r>
      <w:r>
        <w:t xml:space="preserve"> and </w:t>
      </w:r>
      <w:r w:rsidRPr="008D3529">
        <w:rPr>
          <w:lang w:val="en-GB"/>
        </w:rPr>
        <w:t>measurement cycle &lt;=160ms</w:t>
      </w:r>
    </w:p>
    <w:p w14:paraId="218C3386" w14:textId="3AA874B8" w:rsidR="008D3529" w:rsidRPr="008D3529" w:rsidRDefault="008D3529" w:rsidP="00D41441">
      <w:pPr>
        <w:pStyle w:val="af3"/>
        <w:numPr>
          <w:ilvl w:val="0"/>
          <w:numId w:val="8"/>
        </w:numPr>
        <w:jc w:val="both"/>
      </w:pPr>
      <w:r w:rsidRPr="008D3529">
        <w:t>Know</w:t>
      </w:r>
      <w:r>
        <w:t>n</w:t>
      </w:r>
      <w:r w:rsidRPr="008D3529">
        <w:t xml:space="preserve"> cell</w:t>
      </w:r>
      <w:r>
        <w:t xml:space="preserve"> and </w:t>
      </w:r>
      <w:r w:rsidRPr="008D3529">
        <w:rPr>
          <w:lang w:val="en-GB"/>
        </w:rPr>
        <w:t xml:space="preserve">measurement cycle </w:t>
      </w:r>
      <w:r>
        <w:rPr>
          <w:lang w:val="en-GB"/>
        </w:rPr>
        <w:t>&gt;</w:t>
      </w:r>
      <w:r w:rsidRPr="008D3529">
        <w:rPr>
          <w:lang w:val="en-GB"/>
        </w:rPr>
        <w:t>160ms</w:t>
      </w:r>
    </w:p>
    <w:p w14:paraId="09E53057" w14:textId="70861E17" w:rsidR="008D3529" w:rsidRPr="008D3529" w:rsidRDefault="008D3529" w:rsidP="00D41441">
      <w:pPr>
        <w:pStyle w:val="af3"/>
        <w:numPr>
          <w:ilvl w:val="0"/>
          <w:numId w:val="8"/>
        </w:numPr>
        <w:jc w:val="both"/>
        <w:rPr>
          <w:lang w:val="en-GB"/>
        </w:rPr>
      </w:pPr>
      <w:r>
        <w:t>Unknown cell</w:t>
      </w:r>
    </w:p>
    <w:p w14:paraId="6B928F08" w14:textId="7CF780E4" w:rsidR="008D3529" w:rsidRDefault="008D3529" w:rsidP="00350DA8">
      <w:pPr>
        <w:jc w:val="both"/>
        <w:rPr>
          <w:lang w:val="en-GB"/>
        </w:rPr>
      </w:pPr>
      <w:r>
        <w:rPr>
          <w:lang w:val="en-GB"/>
        </w:rPr>
        <w:t>Thus, the combination of victim SCell and aggressor SCell can be 9 different cases.</w:t>
      </w:r>
    </w:p>
    <w:tbl>
      <w:tblPr>
        <w:tblStyle w:val="af4"/>
        <w:tblW w:w="0" w:type="auto"/>
        <w:jc w:val="center"/>
        <w:tblLook w:val="04A0" w:firstRow="1" w:lastRow="0" w:firstColumn="1" w:lastColumn="0" w:noHBand="0" w:noVBand="1"/>
      </w:tblPr>
      <w:tblGrid>
        <w:gridCol w:w="1657"/>
        <w:gridCol w:w="1657"/>
        <w:gridCol w:w="1657"/>
        <w:gridCol w:w="1658"/>
      </w:tblGrid>
      <w:tr w:rsidR="008D3529" w14:paraId="4F10B35E" w14:textId="77777777" w:rsidTr="00860A46">
        <w:trPr>
          <w:trHeight w:val="369"/>
          <w:jc w:val="center"/>
        </w:trPr>
        <w:tc>
          <w:tcPr>
            <w:tcW w:w="1657" w:type="dxa"/>
            <w:vMerge w:val="restart"/>
          </w:tcPr>
          <w:p w14:paraId="09915F72" w14:textId="79A2C968" w:rsidR="008D3529" w:rsidRDefault="008D3529" w:rsidP="00350DA8">
            <w:pPr>
              <w:spacing w:after="0"/>
              <w:jc w:val="both"/>
              <w:rPr>
                <w:lang w:val="en-GB"/>
              </w:rPr>
            </w:pPr>
            <w:r>
              <w:rPr>
                <w:lang w:val="en-GB" w:eastAsia="en-US"/>
              </w:rPr>
              <w:t>victim SCell</w:t>
            </w:r>
          </w:p>
        </w:tc>
        <w:tc>
          <w:tcPr>
            <w:tcW w:w="4972" w:type="dxa"/>
            <w:gridSpan w:val="3"/>
          </w:tcPr>
          <w:p w14:paraId="3249AA22" w14:textId="1B9B4D3F" w:rsidR="008D3529" w:rsidRDefault="008D3529" w:rsidP="00350DA8">
            <w:pPr>
              <w:spacing w:after="0"/>
              <w:jc w:val="both"/>
              <w:rPr>
                <w:lang w:val="en-GB"/>
              </w:rPr>
            </w:pPr>
            <w:r>
              <w:rPr>
                <w:lang w:val="en-GB" w:eastAsia="en-US"/>
              </w:rPr>
              <w:t>aggressor SCell</w:t>
            </w:r>
          </w:p>
        </w:tc>
      </w:tr>
      <w:tr w:rsidR="008D3529" w14:paraId="220FE266" w14:textId="77777777" w:rsidTr="00860A46">
        <w:trPr>
          <w:trHeight w:val="853"/>
          <w:jc w:val="center"/>
        </w:trPr>
        <w:tc>
          <w:tcPr>
            <w:tcW w:w="1657" w:type="dxa"/>
            <w:vMerge/>
          </w:tcPr>
          <w:p w14:paraId="4EBDEEE5" w14:textId="77777777" w:rsidR="008D3529" w:rsidRDefault="008D3529" w:rsidP="00350DA8">
            <w:pPr>
              <w:spacing w:after="0"/>
              <w:jc w:val="both"/>
              <w:rPr>
                <w:lang w:val="en-GB"/>
              </w:rPr>
            </w:pPr>
          </w:p>
        </w:tc>
        <w:tc>
          <w:tcPr>
            <w:tcW w:w="1657" w:type="dxa"/>
          </w:tcPr>
          <w:p w14:paraId="6782A78C" w14:textId="5D254CFB" w:rsidR="008D3529" w:rsidRDefault="008D3529" w:rsidP="00350DA8">
            <w:pPr>
              <w:spacing w:after="0"/>
              <w:jc w:val="both"/>
              <w:rPr>
                <w:lang w:val="en-GB"/>
              </w:rPr>
            </w:pPr>
            <w:r w:rsidRPr="008D3529">
              <w:t>Know</w:t>
            </w:r>
            <w:r>
              <w:t>n</w:t>
            </w:r>
            <w:r w:rsidRPr="008D3529">
              <w:t xml:space="preserve"> cell</w:t>
            </w:r>
            <w:r>
              <w:t xml:space="preserve"> and </w:t>
            </w:r>
            <w:r w:rsidRPr="008D3529">
              <w:rPr>
                <w:lang w:val="en-GB"/>
              </w:rPr>
              <w:t>measurement cycle &lt;=160ms</w:t>
            </w:r>
          </w:p>
        </w:tc>
        <w:tc>
          <w:tcPr>
            <w:tcW w:w="1657" w:type="dxa"/>
          </w:tcPr>
          <w:p w14:paraId="1A629654" w14:textId="444663BE" w:rsidR="008D3529" w:rsidRDefault="008D3529" w:rsidP="00350DA8">
            <w:pPr>
              <w:spacing w:after="0"/>
              <w:jc w:val="both"/>
              <w:rPr>
                <w:lang w:val="en-GB"/>
              </w:rPr>
            </w:pPr>
            <w:r w:rsidRPr="008D3529">
              <w:t>Know</w:t>
            </w:r>
            <w:r>
              <w:t>n</w:t>
            </w:r>
            <w:r w:rsidRPr="008D3529">
              <w:t xml:space="preserve"> cell</w:t>
            </w:r>
            <w:r>
              <w:t xml:space="preserve"> and </w:t>
            </w:r>
            <w:r w:rsidRPr="008D3529">
              <w:rPr>
                <w:lang w:val="en-GB"/>
              </w:rPr>
              <w:t xml:space="preserve">measurement cycle </w:t>
            </w:r>
            <w:r>
              <w:rPr>
                <w:lang w:val="en-GB"/>
              </w:rPr>
              <w:t>&gt;</w:t>
            </w:r>
            <w:r w:rsidRPr="008D3529">
              <w:rPr>
                <w:lang w:val="en-GB"/>
              </w:rPr>
              <w:t>160ms</w:t>
            </w:r>
          </w:p>
        </w:tc>
        <w:tc>
          <w:tcPr>
            <w:tcW w:w="1658" w:type="dxa"/>
          </w:tcPr>
          <w:p w14:paraId="532DE0A4" w14:textId="337AF3BD" w:rsidR="008D3529" w:rsidRDefault="008D3529" w:rsidP="00350DA8">
            <w:pPr>
              <w:spacing w:after="0"/>
              <w:jc w:val="both"/>
              <w:rPr>
                <w:lang w:val="en-GB"/>
              </w:rPr>
            </w:pPr>
            <w:r>
              <w:t>Unknown cell</w:t>
            </w:r>
          </w:p>
        </w:tc>
      </w:tr>
      <w:tr w:rsidR="008D3529" w14:paraId="7A6AE2DD" w14:textId="77777777" w:rsidTr="00350DA8">
        <w:trPr>
          <w:trHeight w:val="836"/>
          <w:jc w:val="center"/>
        </w:trPr>
        <w:tc>
          <w:tcPr>
            <w:tcW w:w="1657" w:type="dxa"/>
          </w:tcPr>
          <w:p w14:paraId="566D2F55" w14:textId="1F9325B6" w:rsidR="008D3529" w:rsidRDefault="008D3529" w:rsidP="00350DA8">
            <w:pPr>
              <w:spacing w:after="0"/>
              <w:jc w:val="both"/>
              <w:rPr>
                <w:lang w:val="en-GB"/>
              </w:rPr>
            </w:pPr>
            <w:r w:rsidRPr="008D3529">
              <w:t>Know</w:t>
            </w:r>
            <w:r>
              <w:t>n</w:t>
            </w:r>
            <w:r w:rsidRPr="008D3529">
              <w:t xml:space="preserve"> cell</w:t>
            </w:r>
            <w:r>
              <w:t xml:space="preserve"> and </w:t>
            </w:r>
            <w:r w:rsidRPr="008D3529">
              <w:rPr>
                <w:lang w:val="en-GB"/>
              </w:rPr>
              <w:t>measurement cycle &lt;=160ms</w:t>
            </w:r>
          </w:p>
        </w:tc>
        <w:tc>
          <w:tcPr>
            <w:tcW w:w="1657" w:type="dxa"/>
            <w:vAlign w:val="center"/>
          </w:tcPr>
          <w:p w14:paraId="35BDA646" w14:textId="241A0518" w:rsidR="008D3529" w:rsidRDefault="008D3529" w:rsidP="00350DA8">
            <w:pPr>
              <w:spacing w:after="0"/>
              <w:jc w:val="both"/>
              <w:rPr>
                <w:lang w:val="en-GB"/>
              </w:rPr>
            </w:pPr>
            <w:r>
              <w:rPr>
                <w:lang w:val="en-GB"/>
              </w:rPr>
              <w:t>Case 1</w:t>
            </w:r>
          </w:p>
        </w:tc>
        <w:tc>
          <w:tcPr>
            <w:tcW w:w="1657" w:type="dxa"/>
            <w:vAlign w:val="center"/>
          </w:tcPr>
          <w:p w14:paraId="47A08F77" w14:textId="66579601" w:rsidR="008D3529" w:rsidRDefault="008D3529" w:rsidP="00350DA8">
            <w:pPr>
              <w:spacing w:after="0"/>
              <w:jc w:val="both"/>
              <w:rPr>
                <w:lang w:val="en-GB"/>
              </w:rPr>
            </w:pPr>
            <w:r>
              <w:rPr>
                <w:lang w:val="en-GB"/>
              </w:rPr>
              <w:t>Case 2</w:t>
            </w:r>
          </w:p>
        </w:tc>
        <w:tc>
          <w:tcPr>
            <w:tcW w:w="1658" w:type="dxa"/>
            <w:vAlign w:val="center"/>
          </w:tcPr>
          <w:p w14:paraId="75AC9F5E" w14:textId="4E781E39" w:rsidR="008D3529" w:rsidRDefault="008D3529" w:rsidP="00350DA8">
            <w:pPr>
              <w:spacing w:after="0"/>
              <w:jc w:val="both"/>
              <w:rPr>
                <w:lang w:val="en-GB"/>
              </w:rPr>
            </w:pPr>
            <w:r>
              <w:rPr>
                <w:lang w:val="en-GB"/>
              </w:rPr>
              <w:t>Case 3</w:t>
            </w:r>
          </w:p>
        </w:tc>
      </w:tr>
      <w:tr w:rsidR="008D3529" w14:paraId="28A3BF26" w14:textId="77777777" w:rsidTr="00350DA8">
        <w:trPr>
          <w:trHeight w:val="845"/>
          <w:jc w:val="center"/>
        </w:trPr>
        <w:tc>
          <w:tcPr>
            <w:tcW w:w="1657" w:type="dxa"/>
          </w:tcPr>
          <w:p w14:paraId="718E3317" w14:textId="5B6D5540" w:rsidR="008D3529" w:rsidRDefault="008D3529" w:rsidP="00350DA8">
            <w:pPr>
              <w:spacing w:after="0"/>
              <w:jc w:val="both"/>
              <w:rPr>
                <w:lang w:val="en-GB"/>
              </w:rPr>
            </w:pPr>
            <w:r w:rsidRPr="008D3529">
              <w:t>Know</w:t>
            </w:r>
            <w:r>
              <w:t>n</w:t>
            </w:r>
            <w:r w:rsidRPr="008D3529">
              <w:t xml:space="preserve"> cell</w:t>
            </w:r>
            <w:r>
              <w:t xml:space="preserve"> and </w:t>
            </w:r>
            <w:r w:rsidRPr="008D3529">
              <w:rPr>
                <w:lang w:val="en-GB"/>
              </w:rPr>
              <w:t xml:space="preserve">measurement cycle </w:t>
            </w:r>
            <w:r>
              <w:rPr>
                <w:lang w:val="en-GB"/>
              </w:rPr>
              <w:t>&gt;</w:t>
            </w:r>
            <w:r w:rsidRPr="008D3529">
              <w:rPr>
                <w:lang w:val="en-GB"/>
              </w:rPr>
              <w:t>160ms</w:t>
            </w:r>
          </w:p>
        </w:tc>
        <w:tc>
          <w:tcPr>
            <w:tcW w:w="1657" w:type="dxa"/>
            <w:vAlign w:val="center"/>
          </w:tcPr>
          <w:p w14:paraId="774AEE77" w14:textId="4A125B98" w:rsidR="008D3529" w:rsidRDefault="008D3529" w:rsidP="00350DA8">
            <w:pPr>
              <w:spacing w:after="0"/>
              <w:jc w:val="both"/>
              <w:rPr>
                <w:lang w:val="en-GB"/>
              </w:rPr>
            </w:pPr>
            <w:r>
              <w:rPr>
                <w:lang w:val="en-GB"/>
              </w:rPr>
              <w:t>Case 4</w:t>
            </w:r>
          </w:p>
        </w:tc>
        <w:tc>
          <w:tcPr>
            <w:tcW w:w="1657" w:type="dxa"/>
            <w:vAlign w:val="center"/>
          </w:tcPr>
          <w:p w14:paraId="10AB47D7" w14:textId="5A934BB9" w:rsidR="008D3529" w:rsidRDefault="008D3529" w:rsidP="00350DA8">
            <w:pPr>
              <w:spacing w:after="0"/>
              <w:jc w:val="both"/>
              <w:rPr>
                <w:lang w:val="en-GB"/>
              </w:rPr>
            </w:pPr>
            <w:r>
              <w:rPr>
                <w:lang w:val="en-GB"/>
              </w:rPr>
              <w:t>Case 5</w:t>
            </w:r>
          </w:p>
        </w:tc>
        <w:tc>
          <w:tcPr>
            <w:tcW w:w="1658" w:type="dxa"/>
            <w:vAlign w:val="center"/>
          </w:tcPr>
          <w:p w14:paraId="15EFB948" w14:textId="5437B344" w:rsidR="008D3529" w:rsidRDefault="008D3529" w:rsidP="00350DA8">
            <w:pPr>
              <w:spacing w:after="0"/>
              <w:jc w:val="both"/>
              <w:rPr>
                <w:lang w:val="en-GB"/>
              </w:rPr>
            </w:pPr>
            <w:r>
              <w:rPr>
                <w:lang w:val="en-GB"/>
              </w:rPr>
              <w:t>Case 6</w:t>
            </w:r>
          </w:p>
        </w:tc>
      </w:tr>
      <w:tr w:rsidR="008D3529" w14:paraId="7AEBD24D" w14:textId="77777777" w:rsidTr="00350DA8">
        <w:trPr>
          <w:trHeight w:val="206"/>
          <w:jc w:val="center"/>
        </w:trPr>
        <w:tc>
          <w:tcPr>
            <w:tcW w:w="1657" w:type="dxa"/>
          </w:tcPr>
          <w:p w14:paraId="2CE8CCED" w14:textId="0EE56737" w:rsidR="008D3529" w:rsidRDefault="008D3529" w:rsidP="00350DA8">
            <w:pPr>
              <w:spacing w:after="0"/>
              <w:jc w:val="both"/>
              <w:rPr>
                <w:lang w:val="en-GB"/>
              </w:rPr>
            </w:pPr>
            <w:r>
              <w:t>Unknown cell</w:t>
            </w:r>
          </w:p>
        </w:tc>
        <w:tc>
          <w:tcPr>
            <w:tcW w:w="1657" w:type="dxa"/>
            <w:vAlign w:val="center"/>
          </w:tcPr>
          <w:p w14:paraId="7A0A7BCF" w14:textId="2ACA8891" w:rsidR="008D3529" w:rsidRDefault="008D3529" w:rsidP="00350DA8">
            <w:pPr>
              <w:spacing w:after="0"/>
              <w:jc w:val="both"/>
              <w:rPr>
                <w:lang w:val="en-GB"/>
              </w:rPr>
            </w:pPr>
            <w:r>
              <w:rPr>
                <w:lang w:val="en-GB"/>
              </w:rPr>
              <w:t>Case 7</w:t>
            </w:r>
          </w:p>
        </w:tc>
        <w:tc>
          <w:tcPr>
            <w:tcW w:w="1657" w:type="dxa"/>
            <w:vAlign w:val="center"/>
          </w:tcPr>
          <w:p w14:paraId="7F3C9A9F" w14:textId="2B5DDBF2" w:rsidR="008D3529" w:rsidRDefault="008D3529" w:rsidP="00350DA8">
            <w:pPr>
              <w:spacing w:after="0"/>
              <w:jc w:val="both"/>
              <w:rPr>
                <w:lang w:val="en-GB"/>
              </w:rPr>
            </w:pPr>
            <w:r>
              <w:rPr>
                <w:lang w:val="en-GB"/>
              </w:rPr>
              <w:t>Case 8</w:t>
            </w:r>
          </w:p>
        </w:tc>
        <w:tc>
          <w:tcPr>
            <w:tcW w:w="1658" w:type="dxa"/>
            <w:vAlign w:val="center"/>
          </w:tcPr>
          <w:p w14:paraId="5304D1A7" w14:textId="7D8AB503" w:rsidR="008D3529" w:rsidRDefault="008D3529" w:rsidP="00350DA8">
            <w:pPr>
              <w:spacing w:after="0"/>
              <w:jc w:val="both"/>
              <w:rPr>
                <w:lang w:val="en-GB"/>
              </w:rPr>
            </w:pPr>
            <w:r>
              <w:rPr>
                <w:lang w:val="en-GB"/>
              </w:rPr>
              <w:t>Case 9</w:t>
            </w:r>
          </w:p>
        </w:tc>
      </w:tr>
    </w:tbl>
    <w:p w14:paraId="4D4F3B7C" w14:textId="51A4DA97" w:rsidR="008D3529" w:rsidRDefault="0045644F" w:rsidP="00350DA8">
      <w:pPr>
        <w:jc w:val="both"/>
        <w:rPr>
          <w:lang w:val="en-GB"/>
        </w:rPr>
      </w:pPr>
      <w:r>
        <w:rPr>
          <w:lang w:val="en-GB"/>
        </w:rPr>
        <w:t>The remaining issue is case 1 when both aggressor SC</w:t>
      </w:r>
      <w:r>
        <w:rPr>
          <w:rFonts w:hint="eastAsia"/>
          <w:lang w:val="en-GB"/>
        </w:rPr>
        <w:t>ell</w:t>
      </w:r>
      <w:r>
        <w:rPr>
          <w:lang w:val="en-GB"/>
        </w:rPr>
        <w:t xml:space="preserve"> and victim SCell are known cell and measurement cycle&lt;=160ms as follow.</w:t>
      </w:r>
    </w:p>
    <w:p w14:paraId="73A9E693" w14:textId="77777777" w:rsidR="008D3529" w:rsidRDefault="008D3529" w:rsidP="00350DA8">
      <w:pPr>
        <w:jc w:val="both"/>
        <w:rPr>
          <w:lang w:val="en-GB"/>
        </w:rPr>
      </w:pPr>
      <w:r>
        <w:rPr>
          <w:lang w:val="en-GB"/>
        </w:rPr>
        <w:t>Case 1:</w:t>
      </w:r>
    </w:p>
    <w:p w14:paraId="236493BB" w14:textId="7BA24FDA" w:rsidR="00686331" w:rsidRDefault="008D3529" w:rsidP="00350DA8">
      <w:pPr>
        <w:jc w:val="both"/>
        <w:rPr>
          <w:lang w:val="en-GB"/>
        </w:rPr>
      </w:pPr>
      <w:r>
        <w:rPr>
          <w:lang w:val="en-GB"/>
        </w:rPr>
        <w:t xml:space="preserve">In case 1, there is only one RF switching on occasion when all SCells being activated transmitting SSB bursts in the same slot because victim SCell and aggressor SCell are intra-band cells. </w:t>
      </w:r>
      <w:r w:rsidR="00686331">
        <w:rPr>
          <w:lang w:val="en-GB"/>
        </w:rPr>
        <w:t xml:space="preserve">Thus, the victim SCell activation delay may be extended from </w:t>
      </w:r>
      <w:r w:rsidR="00686331" w:rsidRPr="00686331">
        <w:t>T</w:t>
      </w:r>
      <w:r w:rsidR="00686331" w:rsidRPr="00686331">
        <w:rPr>
          <w:vertAlign w:val="subscript"/>
        </w:rPr>
        <w:t xml:space="preserve">FirstSSB </w:t>
      </w:r>
      <w:r w:rsidR="00686331" w:rsidRPr="00686331">
        <w:t>to T</w:t>
      </w:r>
      <w:r w:rsidR="00686331" w:rsidRPr="00686331">
        <w:rPr>
          <w:vertAlign w:val="subscript"/>
        </w:rPr>
        <w:t>FirstSSB_MAX</w:t>
      </w:r>
      <w:r w:rsidR="00686331">
        <w:t>.(When victim SCell’s SMTC is less than aggressor SCell)</w:t>
      </w:r>
      <w:r w:rsidR="00686331">
        <w:rPr>
          <w:lang w:val="en-GB"/>
        </w:rPr>
        <w:t xml:space="preserve"> </w:t>
      </w:r>
    </w:p>
    <w:p w14:paraId="778528E7" w14:textId="7BFAD401" w:rsidR="00686331" w:rsidRDefault="00686331" w:rsidP="00350DA8">
      <w:pPr>
        <w:jc w:val="center"/>
        <w:rPr>
          <w:lang w:val="en-GB"/>
        </w:rPr>
      </w:pPr>
      <w:r>
        <w:rPr>
          <w:noProof/>
        </w:rPr>
        <w:drawing>
          <wp:inline distT="0" distB="0" distL="0" distR="0" wp14:anchorId="66BAC2A4" wp14:editId="5007FF45">
            <wp:extent cx="3943454" cy="1228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0859" cy="1255453"/>
                    </a:xfrm>
                    <a:prstGeom prst="rect">
                      <a:avLst/>
                    </a:prstGeom>
                    <a:noFill/>
                  </pic:spPr>
                </pic:pic>
              </a:graphicData>
            </a:graphic>
          </wp:inline>
        </w:drawing>
      </w:r>
    </w:p>
    <w:p w14:paraId="4FA62235" w14:textId="61BB3489" w:rsidR="00686331" w:rsidRDefault="00686331" w:rsidP="00350DA8">
      <w:pPr>
        <w:jc w:val="both"/>
        <w:rPr>
          <w:b/>
          <w:i/>
          <w:sz w:val="20"/>
          <w:szCs w:val="20"/>
          <w:lang w:val="en-GB"/>
        </w:rPr>
      </w:pPr>
      <w:bookmarkStart w:id="5" w:name="_Ref36805178"/>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213078">
        <w:rPr>
          <w:b/>
          <w:i/>
          <w:noProof/>
          <w:sz w:val="20"/>
          <w:szCs w:val="20"/>
        </w:rPr>
        <w:t>4</w:t>
      </w:r>
      <w:r w:rsidRPr="00350DA8">
        <w:rPr>
          <w:b/>
          <w:i/>
          <w:sz w:val="20"/>
          <w:szCs w:val="20"/>
        </w:rPr>
        <w:fldChar w:fldCharType="end"/>
      </w:r>
      <w:r w:rsidRPr="00350DA8">
        <w:rPr>
          <w:b/>
          <w:i/>
          <w:sz w:val="20"/>
          <w:szCs w:val="20"/>
        </w:rPr>
        <w:t xml:space="preserve">: </w:t>
      </w:r>
      <w:r w:rsidR="00350DA8" w:rsidRPr="00350DA8">
        <w:rPr>
          <w:b/>
          <w:i/>
          <w:sz w:val="20"/>
          <w:szCs w:val="20"/>
        </w:rPr>
        <w:t>In intra-band FR1, t</w:t>
      </w:r>
      <w:r w:rsidRPr="00350DA8">
        <w:rPr>
          <w:b/>
          <w:i/>
          <w:sz w:val="20"/>
          <w:szCs w:val="20"/>
          <w:lang w:val="en-GB"/>
        </w:rPr>
        <w:t xml:space="preserve">he victim SCell activation delay may be extended from </w:t>
      </w:r>
      <w:r w:rsidRPr="00350DA8">
        <w:rPr>
          <w:b/>
          <w:i/>
          <w:sz w:val="20"/>
          <w:szCs w:val="20"/>
        </w:rPr>
        <w:t>T</w:t>
      </w:r>
      <w:r w:rsidRPr="00350DA8">
        <w:rPr>
          <w:b/>
          <w:i/>
          <w:sz w:val="20"/>
          <w:szCs w:val="20"/>
          <w:vertAlign w:val="subscript"/>
        </w:rPr>
        <w:t xml:space="preserve">FirstSSB </w:t>
      </w:r>
      <w:r w:rsidRPr="00350DA8">
        <w:rPr>
          <w:b/>
          <w:i/>
          <w:sz w:val="20"/>
          <w:szCs w:val="20"/>
        </w:rPr>
        <w:t>to T</w:t>
      </w:r>
      <w:r w:rsidRPr="00350DA8">
        <w:rPr>
          <w:b/>
          <w:i/>
          <w:sz w:val="20"/>
          <w:szCs w:val="20"/>
          <w:vertAlign w:val="subscript"/>
        </w:rPr>
        <w:t xml:space="preserve">FirstSSB_MAX </w:t>
      </w:r>
      <w:r w:rsidRPr="00350DA8">
        <w:rPr>
          <w:b/>
          <w:i/>
          <w:sz w:val="20"/>
          <w:szCs w:val="20"/>
        </w:rPr>
        <w:t xml:space="preserve">when both victim SCell and aggressor SCell are known cell and </w:t>
      </w:r>
      <w:r w:rsidRPr="00350DA8">
        <w:rPr>
          <w:b/>
          <w:i/>
          <w:sz w:val="20"/>
          <w:szCs w:val="20"/>
          <w:lang w:val="en-GB"/>
        </w:rPr>
        <w:t>measurement cycle &lt;=160ms.</w:t>
      </w:r>
      <w:bookmarkEnd w:id="5"/>
    </w:p>
    <w:p w14:paraId="1203EF93" w14:textId="3142DFAD" w:rsidR="001552A2" w:rsidRDefault="001552A2" w:rsidP="00D41441">
      <w:pPr>
        <w:pStyle w:val="1"/>
        <w:numPr>
          <w:ilvl w:val="0"/>
          <w:numId w:val="1"/>
        </w:numPr>
        <w:jc w:val="both"/>
        <w:rPr>
          <w:rFonts w:ascii="Calibri" w:hAnsi="Calibri"/>
        </w:rPr>
      </w:pPr>
      <w:r>
        <w:rPr>
          <w:rFonts w:ascii="Calibri" w:hAnsi="Calibri"/>
        </w:rPr>
        <w:lastRenderedPageBreak/>
        <w:t>N</w:t>
      </w:r>
      <w:r w:rsidRPr="001552A2">
        <w:rPr>
          <w:rFonts w:ascii="Calibri" w:hAnsi="Calibri"/>
        </w:rPr>
        <w:t xml:space="preserve">arrow down </w:t>
      </w:r>
      <w:r>
        <w:rPr>
          <w:rFonts w:ascii="Calibri" w:hAnsi="Calibri"/>
        </w:rPr>
        <w:t>multiple Scell activation cases</w:t>
      </w:r>
    </w:p>
    <w:p w14:paraId="7ADFD041" w14:textId="6EFEC526" w:rsidR="001552A2" w:rsidRPr="001552A2" w:rsidRDefault="001552A2" w:rsidP="001552A2">
      <w:pPr>
        <w:jc w:val="both"/>
        <w:rPr>
          <w:sz w:val="20"/>
          <w:szCs w:val="20"/>
          <w:lang w:val="en-GB"/>
        </w:rPr>
      </w:pPr>
      <w:r>
        <w:rPr>
          <w:sz w:val="20"/>
          <w:szCs w:val="20"/>
          <w:lang w:val="en-GB"/>
        </w:rPr>
        <w:t>Most of the general rules of multiple SCell activation were already agreed in last meeting. It’s easy to deduce the requirements based on these general rules. At the same time, it’s already agreed not to define the requirement for per-UE gap UE in NR-DC. This down selection makes the requirements much simpler. Thus, we don’t think the scenarios for multiple SCell activation need further to be downscaled.</w:t>
      </w:r>
    </w:p>
    <w:p w14:paraId="717F072B" w14:textId="0BD4B992" w:rsidR="001552A2" w:rsidRPr="001552A2" w:rsidRDefault="001552A2" w:rsidP="001552A2">
      <w:pPr>
        <w:rPr>
          <w:lang w:val="en-GB" w:eastAsia="en-US"/>
        </w:rPr>
      </w:pPr>
      <w:bookmarkStart w:id="6" w:name="_Ref40193110"/>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213078">
        <w:rPr>
          <w:b/>
          <w:i/>
          <w:noProof/>
          <w:sz w:val="20"/>
          <w:szCs w:val="20"/>
        </w:rPr>
        <w:t>5</w:t>
      </w:r>
      <w:r w:rsidRPr="00350DA8">
        <w:rPr>
          <w:b/>
          <w:i/>
          <w:sz w:val="20"/>
          <w:szCs w:val="20"/>
        </w:rPr>
        <w:fldChar w:fldCharType="end"/>
      </w:r>
      <w:r w:rsidRPr="00350DA8">
        <w:rPr>
          <w:b/>
          <w:i/>
          <w:sz w:val="20"/>
          <w:szCs w:val="20"/>
        </w:rPr>
        <w:t>:</w:t>
      </w:r>
      <w:r>
        <w:rPr>
          <w:b/>
          <w:i/>
          <w:sz w:val="20"/>
          <w:szCs w:val="20"/>
        </w:rPr>
        <w:t xml:space="preserve"> Do not need to further narrow down the multiple SCell activation cases.</w:t>
      </w:r>
      <w:bookmarkEnd w:id="6"/>
    </w:p>
    <w:p w14:paraId="7C6FC139" w14:textId="77777777" w:rsidR="00CE0D5E" w:rsidRPr="000C45FD" w:rsidRDefault="00141644" w:rsidP="00D41441">
      <w:pPr>
        <w:pStyle w:val="1"/>
        <w:numPr>
          <w:ilvl w:val="0"/>
          <w:numId w:val="1"/>
        </w:numPr>
        <w:jc w:val="both"/>
        <w:rPr>
          <w:rFonts w:ascii="Calibri" w:hAnsi="Calibri"/>
          <w:lang w:eastAsia="zh-CN"/>
        </w:rPr>
      </w:pPr>
      <w:r>
        <w:rPr>
          <w:rFonts w:ascii="Calibri" w:hAnsi="Calibri"/>
        </w:rPr>
        <w:t>Summary</w:t>
      </w:r>
    </w:p>
    <w:p w14:paraId="66549B52" w14:textId="24675617" w:rsidR="00B420D5" w:rsidRDefault="006F7557" w:rsidP="00350DA8">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731028">
        <w:t>multiple SCell activation</w:t>
      </w:r>
      <w:r w:rsidR="00B420D5">
        <w:t xml:space="preserve"> requirement</w:t>
      </w:r>
      <w:r w:rsidR="00356893">
        <w:t xml:space="preserve"> for NR</w:t>
      </w:r>
      <w:r w:rsidR="00B420D5">
        <w:t>.</w:t>
      </w:r>
    </w:p>
    <w:p w14:paraId="3C62A880" w14:textId="44BF04E8" w:rsidR="0045644F" w:rsidRDefault="001552A2" w:rsidP="00350DA8">
      <w:pPr>
        <w:adjustRightInd w:val="0"/>
        <w:snapToGrid w:val="0"/>
        <w:spacing w:before="180" w:after="120"/>
        <w:jc w:val="both"/>
      </w:pPr>
      <w:r>
        <w:fldChar w:fldCharType="begin"/>
      </w:r>
      <w:r>
        <w:instrText xml:space="preserve"> REF _Ref36805157 \h </w:instrText>
      </w:r>
      <w:r>
        <w:fldChar w:fldCharType="separate"/>
      </w:r>
      <w:r w:rsidR="00213078" w:rsidRPr="009241C7">
        <w:rPr>
          <w:b/>
          <w:i/>
          <w:sz w:val="20"/>
          <w:szCs w:val="20"/>
        </w:rPr>
        <w:t xml:space="preserve">Proposal </w:t>
      </w:r>
      <w:r w:rsidR="00213078">
        <w:rPr>
          <w:b/>
          <w:i/>
          <w:noProof/>
          <w:sz w:val="20"/>
          <w:szCs w:val="20"/>
        </w:rPr>
        <w:t>1</w:t>
      </w:r>
      <w:r w:rsidR="00213078" w:rsidRPr="009241C7">
        <w:rPr>
          <w:b/>
          <w:i/>
          <w:sz w:val="20"/>
          <w:szCs w:val="20"/>
        </w:rPr>
        <w:t>:</w:t>
      </w:r>
      <w:r w:rsidR="00213078" w:rsidRPr="001E1B0A">
        <w:rPr>
          <w:b/>
          <w:i/>
          <w:sz w:val="20"/>
          <w:szCs w:val="20"/>
        </w:rPr>
        <w:t xml:space="preserve"> All the unknown FR1 SCell shall be accounted into the scaling factor N unless network can guarantee the same Tx beam </w:t>
      </w:r>
      <w:r w:rsidR="00213078">
        <w:rPr>
          <w:b/>
          <w:i/>
          <w:sz w:val="20"/>
          <w:szCs w:val="20"/>
        </w:rPr>
        <w:t xml:space="preserve">is used for SSB </w:t>
      </w:r>
      <w:r w:rsidR="00213078" w:rsidRPr="001E1B0A">
        <w:rPr>
          <w:b/>
          <w:i/>
          <w:sz w:val="20"/>
          <w:szCs w:val="20"/>
        </w:rPr>
        <w:t>with the same SSB index in FR1 intra-band.</w:t>
      </w:r>
      <w:r>
        <w:fldChar w:fldCharType="end"/>
      </w:r>
    </w:p>
    <w:p w14:paraId="6F2C0395" w14:textId="790ACBDA" w:rsidR="001552A2" w:rsidRDefault="001552A2" w:rsidP="00350DA8">
      <w:pPr>
        <w:adjustRightInd w:val="0"/>
        <w:snapToGrid w:val="0"/>
        <w:spacing w:before="180" w:after="120"/>
        <w:jc w:val="both"/>
      </w:pPr>
      <w:r>
        <w:fldChar w:fldCharType="begin"/>
      </w:r>
      <w:r>
        <w:instrText xml:space="preserve"> REF _Ref36805333 \h </w:instrText>
      </w:r>
      <w:r>
        <w:fldChar w:fldCharType="separate"/>
      </w:r>
      <w:r w:rsidR="00213078" w:rsidRPr="00DA4AD5">
        <w:rPr>
          <w:b/>
          <w:i/>
          <w:sz w:val="20"/>
          <w:szCs w:val="20"/>
        </w:rPr>
        <w:t xml:space="preserve">Proposal </w:t>
      </w:r>
      <w:r w:rsidR="00213078">
        <w:rPr>
          <w:b/>
          <w:i/>
          <w:noProof/>
          <w:sz w:val="20"/>
          <w:szCs w:val="20"/>
        </w:rPr>
        <w:t>2</w:t>
      </w:r>
      <w:r w:rsidR="00213078" w:rsidRPr="00DA4AD5">
        <w:rPr>
          <w:b/>
          <w:i/>
          <w:sz w:val="20"/>
          <w:szCs w:val="20"/>
        </w:rPr>
        <w:t xml:space="preserve">: The scaling factor N shall be applied to cell search only. </w:t>
      </w:r>
      <w:r w:rsidR="00213078">
        <w:rPr>
          <w:b/>
          <w:i/>
          <w:sz w:val="20"/>
          <w:szCs w:val="20"/>
          <w:lang w:val="en-GB" w:eastAsia="en-US"/>
        </w:rPr>
        <w:t>The</w:t>
      </w:r>
      <w:r w:rsidR="00213078" w:rsidRPr="00DA4AD5">
        <w:rPr>
          <w:b/>
          <w:i/>
          <w:sz w:val="20"/>
          <w:szCs w:val="20"/>
          <w:lang w:val="en-GB" w:eastAsia="en-US"/>
        </w:rPr>
        <w:t xml:space="preserve"> exten</w:t>
      </w:r>
      <w:r w:rsidR="00213078">
        <w:rPr>
          <w:b/>
          <w:i/>
          <w:sz w:val="20"/>
          <w:szCs w:val="20"/>
          <w:lang w:val="en-GB" w:eastAsia="en-US"/>
        </w:rPr>
        <w:t>ded</w:t>
      </w:r>
      <w:r w:rsidR="00213078" w:rsidRPr="00DA4AD5">
        <w:rPr>
          <w:b/>
          <w:i/>
          <w:sz w:val="20"/>
          <w:szCs w:val="20"/>
          <w:lang w:val="en-GB" w:eastAsia="en-US"/>
        </w:rPr>
        <w:t xml:space="preserve"> delay </w:t>
      </w:r>
      <w:r w:rsidR="00213078">
        <w:rPr>
          <w:b/>
          <w:i/>
          <w:sz w:val="20"/>
          <w:szCs w:val="20"/>
          <w:lang w:val="en-GB" w:eastAsia="en-US"/>
        </w:rPr>
        <w:t>is</w:t>
      </w:r>
      <w:r w:rsidR="00213078" w:rsidRPr="00DA4AD5">
        <w:rPr>
          <w:b/>
          <w:i/>
          <w:sz w:val="20"/>
          <w:szCs w:val="20"/>
          <w:lang w:val="en-GB" w:eastAsia="en-US"/>
        </w:rPr>
        <w:t xml:space="preserve"> </w:t>
      </w:r>
      <m:oMath>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1∙</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2∙8</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oMath>
      <w:r w:rsidR="00213078">
        <w:rPr>
          <w:b/>
          <w:i/>
          <w:sz w:val="20"/>
          <w:szCs w:val="20"/>
          <w:lang w:val="en-GB" w:eastAsia="en-US"/>
        </w:rPr>
        <w:t xml:space="preserve"> , where </w:t>
      </w:r>
      <w:r w:rsidR="00213078" w:rsidRPr="00DA4AD5">
        <w:rPr>
          <w:b/>
          <w:i/>
          <w:sz w:val="20"/>
          <w:szCs w:val="20"/>
          <w:lang w:val="en-GB" w:eastAsia="en-US"/>
        </w:rPr>
        <w:t xml:space="preserve">N1 is the </w:t>
      </w:r>
      <w:r w:rsidR="00213078" w:rsidRPr="00DA4AD5">
        <w:rPr>
          <w:b/>
          <w:i/>
          <w:sz w:val="20"/>
          <w:szCs w:val="20"/>
          <w:lang w:val="en-CA"/>
        </w:rPr>
        <w:t>number of unknown FR1 SCells being activated that are non-contiguous to FR1 known cell or FR1 active serving cell</w:t>
      </w:r>
      <w:r w:rsidR="00213078">
        <w:rPr>
          <w:b/>
          <w:i/>
          <w:sz w:val="20"/>
          <w:szCs w:val="20"/>
          <w:lang w:val="en-CA"/>
        </w:rPr>
        <w:t>,</w:t>
      </w:r>
      <w:r w:rsidR="00213078" w:rsidRPr="00DA4AD5">
        <w:rPr>
          <w:b/>
          <w:i/>
          <w:sz w:val="20"/>
          <w:szCs w:val="20"/>
          <w:lang w:val="en-CA"/>
        </w:rPr>
        <w:t xml:space="preserve"> and N2 is the number of FR2 bands with unknown FR2 SCells being activated only</w:t>
      </w:r>
      <w:r w:rsidR="00213078" w:rsidRPr="00DA4AD5">
        <w:rPr>
          <w:b/>
          <w:i/>
          <w:sz w:val="20"/>
          <w:szCs w:val="20"/>
          <w:lang w:val="en-GB" w:eastAsia="en-US"/>
        </w:rPr>
        <w:t>.</w:t>
      </w:r>
      <w:r>
        <w:fldChar w:fldCharType="end"/>
      </w:r>
    </w:p>
    <w:p w14:paraId="2E3B5F4F" w14:textId="2F5686A7" w:rsidR="001552A2" w:rsidRDefault="001552A2" w:rsidP="00350DA8">
      <w:pPr>
        <w:adjustRightInd w:val="0"/>
        <w:snapToGrid w:val="0"/>
        <w:spacing w:before="180" w:after="120"/>
        <w:jc w:val="both"/>
      </w:pPr>
      <w:r>
        <w:fldChar w:fldCharType="begin"/>
      </w:r>
      <w:r>
        <w:instrText xml:space="preserve"> REF _Ref36805175 \h </w:instrText>
      </w:r>
      <w:r>
        <w:fldChar w:fldCharType="separate"/>
      </w:r>
      <w:r w:rsidR="00213078" w:rsidRPr="00350DA8">
        <w:rPr>
          <w:b/>
          <w:i/>
          <w:sz w:val="20"/>
          <w:szCs w:val="20"/>
        </w:rPr>
        <w:t xml:space="preserve">Proposal </w:t>
      </w:r>
      <w:r w:rsidR="00213078">
        <w:rPr>
          <w:b/>
          <w:i/>
          <w:noProof/>
          <w:sz w:val="20"/>
          <w:szCs w:val="20"/>
        </w:rPr>
        <w:t>3</w:t>
      </w:r>
      <w:r w:rsidR="00213078" w:rsidRPr="00350DA8">
        <w:rPr>
          <w:b/>
          <w:i/>
          <w:sz w:val="20"/>
          <w:szCs w:val="20"/>
        </w:rPr>
        <w:t xml:space="preserve">: </w:t>
      </w:r>
      <w:r w:rsidR="00213078">
        <w:rPr>
          <w:b/>
          <w:i/>
          <w:sz w:val="20"/>
          <w:szCs w:val="20"/>
        </w:rPr>
        <w:t xml:space="preserve">When only one MAC command for multiple SCells activation, </w:t>
      </w:r>
      <w:r w:rsidR="00213078" w:rsidRPr="00350DA8">
        <w:rPr>
          <w:b/>
          <w:i/>
          <w:sz w:val="20"/>
          <w:szCs w:val="20"/>
        </w:rPr>
        <w:t>UE can schedule the RF retuning occasion to align on time. Only one interruption happens in each CG.</w:t>
      </w:r>
      <w:r>
        <w:fldChar w:fldCharType="end"/>
      </w:r>
    </w:p>
    <w:p w14:paraId="25787841" w14:textId="7657BC4A" w:rsidR="001552A2" w:rsidRDefault="001552A2" w:rsidP="00350DA8">
      <w:pPr>
        <w:adjustRightInd w:val="0"/>
        <w:snapToGrid w:val="0"/>
        <w:spacing w:before="180" w:after="120"/>
        <w:jc w:val="both"/>
      </w:pPr>
      <w:r>
        <w:fldChar w:fldCharType="begin"/>
      </w:r>
      <w:r>
        <w:instrText xml:space="preserve"> REF _Ref36805178 \h </w:instrText>
      </w:r>
      <w:r>
        <w:fldChar w:fldCharType="separate"/>
      </w:r>
      <w:r w:rsidR="00213078" w:rsidRPr="00350DA8">
        <w:rPr>
          <w:b/>
          <w:i/>
          <w:sz w:val="20"/>
          <w:szCs w:val="20"/>
        </w:rPr>
        <w:t xml:space="preserve">Proposal </w:t>
      </w:r>
      <w:r w:rsidR="00213078">
        <w:rPr>
          <w:b/>
          <w:i/>
          <w:noProof/>
          <w:sz w:val="20"/>
          <w:szCs w:val="20"/>
        </w:rPr>
        <w:t>4</w:t>
      </w:r>
      <w:r w:rsidR="00213078" w:rsidRPr="00350DA8">
        <w:rPr>
          <w:b/>
          <w:i/>
          <w:sz w:val="20"/>
          <w:szCs w:val="20"/>
        </w:rPr>
        <w:t>: In intra-band FR1, t</w:t>
      </w:r>
      <w:r w:rsidR="00213078" w:rsidRPr="00350DA8">
        <w:rPr>
          <w:b/>
          <w:i/>
          <w:sz w:val="20"/>
          <w:szCs w:val="20"/>
          <w:lang w:val="en-GB"/>
        </w:rPr>
        <w:t xml:space="preserve">he victim SCell activation delay may be extended from </w:t>
      </w:r>
      <w:r w:rsidR="00213078" w:rsidRPr="00350DA8">
        <w:rPr>
          <w:b/>
          <w:i/>
          <w:sz w:val="20"/>
          <w:szCs w:val="20"/>
        </w:rPr>
        <w:t>T</w:t>
      </w:r>
      <w:r w:rsidR="00213078" w:rsidRPr="00350DA8">
        <w:rPr>
          <w:b/>
          <w:i/>
          <w:sz w:val="20"/>
          <w:szCs w:val="20"/>
          <w:vertAlign w:val="subscript"/>
        </w:rPr>
        <w:t xml:space="preserve">FirstSSB </w:t>
      </w:r>
      <w:r w:rsidR="00213078" w:rsidRPr="00350DA8">
        <w:rPr>
          <w:b/>
          <w:i/>
          <w:sz w:val="20"/>
          <w:szCs w:val="20"/>
        </w:rPr>
        <w:t>to T</w:t>
      </w:r>
      <w:r w:rsidR="00213078" w:rsidRPr="00350DA8">
        <w:rPr>
          <w:b/>
          <w:i/>
          <w:sz w:val="20"/>
          <w:szCs w:val="20"/>
          <w:vertAlign w:val="subscript"/>
        </w:rPr>
        <w:t xml:space="preserve">FirstSSB_MAX </w:t>
      </w:r>
      <w:r w:rsidR="00213078" w:rsidRPr="00350DA8">
        <w:rPr>
          <w:b/>
          <w:i/>
          <w:sz w:val="20"/>
          <w:szCs w:val="20"/>
        </w:rPr>
        <w:t xml:space="preserve">when both victim SCell and aggressor SCell are known cell and </w:t>
      </w:r>
      <w:r w:rsidR="00213078" w:rsidRPr="00350DA8">
        <w:rPr>
          <w:b/>
          <w:i/>
          <w:sz w:val="20"/>
          <w:szCs w:val="20"/>
          <w:lang w:val="en-GB"/>
        </w:rPr>
        <w:t>measurement cycle &lt;=160ms.</w:t>
      </w:r>
      <w:r>
        <w:fldChar w:fldCharType="end"/>
      </w:r>
    </w:p>
    <w:p w14:paraId="1EDF64D0" w14:textId="58E15DBD" w:rsidR="001552A2" w:rsidRDefault="001552A2" w:rsidP="00350DA8">
      <w:pPr>
        <w:adjustRightInd w:val="0"/>
        <w:snapToGrid w:val="0"/>
        <w:spacing w:before="180" w:after="120"/>
        <w:jc w:val="both"/>
      </w:pPr>
      <w:r>
        <w:fldChar w:fldCharType="begin"/>
      </w:r>
      <w:r>
        <w:instrText xml:space="preserve"> REF _Ref40193110 \h </w:instrText>
      </w:r>
      <w:r>
        <w:fldChar w:fldCharType="separate"/>
      </w:r>
      <w:r w:rsidR="00213078" w:rsidRPr="00350DA8">
        <w:rPr>
          <w:b/>
          <w:i/>
          <w:sz w:val="20"/>
          <w:szCs w:val="20"/>
        </w:rPr>
        <w:t xml:space="preserve">Proposal </w:t>
      </w:r>
      <w:r w:rsidR="00213078">
        <w:rPr>
          <w:b/>
          <w:i/>
          <w:noProof/>
          <w:sz w:val="20"/>
          <w:szCs w:val="20"/>
        </w:rPr>
        <w:t>5</w:t>
      </w:r>
      <w:r w:rsidR="00213078" w:rsidRPr="00350DA8">
        <w:rPr>
          <w:b/>
          <w:i/>
          <w:sz w:val="20"/>
          <w:szCs w:val="20"/>
        </w:rPr>
        <w:t>:</w:t>
      </w:r>
      <w:r w:rsidR="00213078">
        <w:rPr>
          <w:b/>
          <w:i/>
          <w:sz w:val="20"/>
          <w:szCs w:val="20"/>
        </w:rPr>
        <w:t xml:space="preserve"> Do not need to further narrow down the multiple SCell activation cases.</w:t>
      </w:r>
      <w:r>
        <w:fldChar w:fldCharType="end"/>
      </w:r>
    </w:p>
    <w:p w14:paraId="00085F61" w14:textId="77777777" w:rsidR="000F20AC" w:rsidRPr="000C45FD" w:rsidRDefault="000F20AC" w:rsidP="00D41441">
      <w:pPr>
        <w:pStyle w:val="1"/>
        <w:numPr>
          <w:ilvl w:val="0"/>
          <w:numId w:val="1"/>
        </w:numPr>
        <w:jc w:val="both"/>
        <w:rPr>
          <w:rFonts w:ascii="Calibri" w:hAnsi="Calibri"/>
        </w:rPr>
      </w:pPr>
      <w:r w:rsidRPr="000C45FD">
        <w:rPr>
          <w:rFonts w:ascii="Calibri" w:hAnsi="Calibri"/>
        </w:rPr>
        <w:t>References</w:t>
      </w:r>
    </w:p>
    <w:p w14:paraId="3613CDAD" w14:textId="6D622B8F" w:rsidR="004D05A7" w:rsidRPr="006F7557" w:rsidRDefault="006B22DE" w:rsidP="00350DA8">
      <w:pPr>
        <w:spacing w:after="180" w:line="240" w:lineRule="auto"/>
        <w:jc w:val="both"/>
        <w:rPr>
          <w:highlight w:val="yellow"/>
        </w:rPr>
      </w:pPr>
      <w:r>
        <w:t xml:space="preserve">[1] </w:t>
      </w:r>
      <w:r w:rsidR="00731028" w:rsidRPr="00731028">
        <w:t>R</w:t>
      </w:r>
      <w:r w:rsidR="00C83BC6">
        <w:t>4</w:t>
      </w:r>
      <w:r w:rsidR="00731028" w:rsidRPr="00731028">
        <w:t>-</w:t>
      </w:r>
      <w:r w:rsidR="000B4354">
        <w:t>200</w:t>
      </w:r>
      <w:r w:rsidR="0045644F">
        <w:t>5347</w:t>
      </w:r>
      <w:r w:rsidR="004237EC">
        <w:t>,</w:t>
      </w:r>
      <w:r w:rsidR="00731028" w:rsidRPr="00731028">
        <w:t xml:space="preserve"> </w:t>
      </w:r>
      <w:r w:rsidR="004237EC">
        <w:t>“</w:t>
      </w:r>
      <w:r w:rsidR="000B4354" w:rsidRPr="000B4354">
        <w:t>Way forward on multiple SCell activation</w:t>
      </w:r>
      <w:r w:rsidR="004237EC">
        <w:t xml:space="preserve">”, </w:t>
      </w:r>
      <w:r w:rsidR="00C83BC6">
        <w:t>Apple</w:t>
      </w: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0B149" w14:textId="77777777" w:rsidR="006456C4" w:rsidRDefault="006456C4">
      <w:r>
        <w:separator/>
      </w:r>
    </w:p>
  </w:endnote>
  <w:endnote w:type="continuationSeparator" w:id="0">
    <w:p w14:paraId="0409A432" w14:textId="77777777" w:rsidR="006456C4" w:rsidRDefault="0064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8D2C3" w14:textId="77777777" w:rsidR="006456C4" w:rsidRDefault="006456C4">
      <w:r>
        <w:separator/>
      </w:r>
    </w:p>
  </w:footnote>
  <w:footnote w:type="continuationSeparator" w:id="0">
    <w:p w14:paraId="2B4B6CE0" w14:textId="77777777" w:rsidR="006456C4" w:rsidRDefault="00645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8752F"/>
    <w:multiLevelType w:val="hybridMultilevel"/>
    <w:tmpl w:val="B804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A67E9"/>
    <w:multiLevelType w:val="hybridMultilevel"/>
    <w:tmpl w:val="3684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367C5F"/>
    <w:multiLevelType w:val="hybridMultilevel"/>
    <w:tmpl w:val="4594B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62D0D"/>
    <w:multiLevelType w:val="hybridMultilevel"/>
    <w:tmpl w:val="17940570"/>
    <w:lvl w:ilvl="0" w:tplc="126E719C">
      <w:start w:val="1"/>
      <w:numFmt w:val="bullet"/>
      <w:lvlText w:val="•"/>
      <w:lvlJc w:val="left"/>
      <w:pPr>
        <w:tabs>
          <w:tab w:val="num" w:pos="357"/>
        </w:tabs>
        <w:ind w:left="357" w:hanging="360"/>
      </w:pPr>
      <w:rPr>
        <w:rFonts w:ascii="Arial" w:hAnsi="Arial" w:hint="default"/>
      </w:rPr>
    </w:lvl>
    <w:lvl w:ilvl="1" w:tplc="E09EBF2A">
      <w:numFmt w:val="bullet"/>
      <w:lvlText w:val="–"/>
      <w:lvlJc w:val="left"/>
      <w:pPr>
        <w:tabs>
          <w:tab w:val="num" w:pos="1077"/>
        </w:tabs>
        <w:ind w:left="1077" w:hanging="360"/>
      </w:pPr>
      <w:rPr>
        <w:rFonts w:ascii="Arial" w:hAnsi="Arial" w:hint="default"/>
      </w:rPr>
    </w:lvl>
    <w:lvl w:ilvl="2" w:tplc="2AEE6562">
      <w:numFmt w:val="bullet"/>
      <w:lvlText w:val="•"/>
      <w:lvlJc w:val="left"/>
      <w:pPr>
        <w:tabs>
          <w:tab w:val="num" w:pos="1797"/>
        </w:tabs>
        <w:ind w:left="1797" w:hanging="360"/>
      </w:pPr>
      <w:rPr>
        <w:rFonts w:ascii="Arial" w:hAnsi="Arial" w:hint="default"/>
      </w:rPr>
    </w:lvl>
    <w:lvl w:ilvl="3" w:tplc="CBF040DA">
      <w:start w:val="1"/>
      <w:numFmt w:val="bullet"/>
      <w:lvlText w:val="•"/>
      <w:lvlJc w:val="left"/>
      <w:pPr>
        <w:tabs>
          <w:tab w:val="num" w:pos="2517"/>
        </w:tabs>
        <w:ind w:left="2517" w:hanging="360"/>
      </w:pPr>
      <w:rPr>
        <w:rFonts w:ascii="Arial" w:hAnsi="Arial" w:hint="default"/>
      </w:rPr>
    </w:lvl>
    <w:lvl w:ilvl="4" w:tplc="70328DAA" w:tentative="1">
      <w:start w:val="1"/>
      <w:numFmt w:val="bullet"/>
      <w:lvlText w:val="•"/>
      <w:lvlJc w:val="left"/>
      <w:pPr>
        <w:tabs>
          <w:tab w:val="num" w:pos="3237"/>
        </w:tabs>
        <w:ind w:left="3237" w:hanging="360"/>
      </w:pPr>
      <w:rPr>
        <w:rFonts w:ascii="Arial" w:hAnsi="Arial" w:hint="default"/>
      </w:rPr>
    </w:lvl>
    <w:lvl w:ilvl="5" w:tplc="2A707784" w:tentative="1">
      <w:start w:val="1"/>
      <w:numFmt w:val="bullet"/>
      <w:lvlText w:val="•"/>
      <w:lvlJc w:val="left"/>
      <w:pPr>
        <w:tabs>
          <w:tab w:val="num" w:pos="3957"/>
        </w:tabs>
        <w:ind w:left="3957" w:hanging="360"/>
      </w:pPr>
      <w:rPr>
        <w:rFonts w:ascii="Arial" w:hAnsi="Arial" w:hint="default"/>
      </w:rPr>
    </w:lvl>
    <w:lvl w:ilvl="6" w:tplc="8F82133E" w:tentative="1">
      <w:start w:val="1"/>
      <w:numFmt w:val="bullet"/>
      <w:lvlText w:val="•"/>
      <w:lvlJc w:val="left"/>
      <w:pPr>
        <w:tabs>
          <w:tab w:val="num" w:pos="4677"/>
        </w:tabs>
        <w:ind w:left="4677" w:hanging="360"/>
      </w:pPr>
      <w:rPr>
        <w:rFonts w:ascii="Arial" w:hAnsi="Arial" w:hint="default"/>
      </w:rPr>
    </w:lvl>
    <w:lvl w:ilvl="7" w:tplc="A16EA0C0" w:tentative="1">
      <w:start w:val="1"/>
      <w:numFmt w:val="bullet"/>
      <w:lvlText w:val="•"/>
      <w:lvlJc w:val="left"/>
      <w:pPr>
        <w:tabs>
          <w:tab w:val="num" w:pos="5397"/>
        </w:tabs>
        <w:ind w:left="5397" w:hanging="360"/>
      </w:pPr>
      <w:rPr>
        <w:rFonts w:ascii="Arial" w:hAnsi="Arial" w:hint="default"/>
      </w:rPr>
    </w:lvl>
    <w:lvl w:ilvl="8" w:tplc="4EF2023C" w:tentative="1">
      <w:start w:val="1"/>
      <w:numFmt w:val="bullet"/>
      <w:lvlText w:val="•"/>
      <w:lvlJc w:val="left"/>
      <w:pPr>
        <w:tabs>
          <w:tab w:val="num" w:pos="6117"/>
        </w:tabs>
        <w:ind w:left="6117"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A32DF7"/>
    <w:multiLevelType w:val="hybridMultilevel"/>
    <w:tmpl w:val="47EA58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8"/>
  </w:num>
  <w:num w:numId="2">
    <w:abstractNumId w:val="6"/>
  </w:num>
  <w:num w:numId="3">
    <w:abstractNumId w:val="1"/>
  </w:num>
  <w:num w:numId="4">
    <w:abstractNumId w:val="0"/>
  </w:num>
  <w:num w:numId="5">
    <w:abstractNumId w:val="5"/>
  </w:num>
  <w:num w:numId="6">
    <w:abstractNumId w:val="7"/>
  </w:num>
  <w:num w:numId="7">
    <w:abstractNumId w:val="2"/>
  </w:num>
  <w:num w:numId="8">
    <w:abstractNumId w:val="3"/>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6B"/>
    <w:rsid w:val="00000F88"/>
    <w:rsid w:val="0000162C"/>
    <w:rsid w:val="00001783"/>
    <w:rsid w:val="0000199E"/>
    <w:rsid w:val="00001E20"/>
    <w:rsid w:val="00002245"/>
    <w:rsid w:val="00002260"/>
    <w:rsid w:val="00002392"/>
    <w:rsid w:val="0000280B"/>
    <w:rsid w:val="000028BD"/>
    <w:rsid w:val="00002964"/>
    <w:rsid w:val="00002FC2"/>
    <w:rsid w:val="00003437"/>
    <w:rsid w:val="00003938"/>
    <w:rsid w:val="00003983"/>
    <w:rsid w:val="00003E24"/>
    <w:rsid w:val="00004ADA"/>
    <w:rsid w:val="00004C31"/>
    <w:rsid w:val="00004F66"/>
    <w:rsid w:val="00005F34"/>
    <w:rsid w:val="000065E7"/>
    <w:rsid w:val="00006F6E"/>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157"/>
    <w:rsid w:val="0001535F"/>
    <w:rsid w:val="00015651"/>
    <w:rsid w:val="00015A4B"/>
    <w:rsid w:val="00015AEA"/>
    <w:rsid w:val="00015B29"/>
    <w:rsid w:val="00015F77"/>
    <w:rsid w:val="00016016"/>
    <w:rsid w:val="000160A9"/>
    <w:rsid w:val="00016AF9"/>
    <w:rsid w:val="00017EDA"/>
    <w:rsid w:val="00020401"/>
    <w:rsid w:val="00020678"/>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B22"/>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2E59"/>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57D83"/>
    <w:rsid w:val="00057FCE"/>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41C"/>
    <w:rsid w:val="00065792"/>
    <w:rsid w:val="00066A88"/>
    <w:rsid w:val="00066BC9"/>
    <w:rsid w:val="00066FDA"/>
    <w:rsid w:val="00066FF1"/>
    <w:rsid w:val="00067353"/>
    <w:rsid w:val="00067520"/>
    <w:rsid w:val="00070917"/>
    <w:rsid w:val="00070B20"/>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1C0"/>
    <w:rsid w:val="00077898"/>
    <w:rsid w:val="000778E0"/>
    <w:rsid w:val="00077EA6"/>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57D"/>
    <w:rsid w:val="00087858"/>
    <w:rsid w:val="00090073"/>
    <w:rsid w:val="0009032A"/>
    <w:rsid w:val="00090ED4"/>
    <w:rsid w:val="000917DB"/>
    <w:rsid w:val="00091F15"/>
    <w:rsid w:val="00091F51"/>
    <w:rsid w:val="0009343C"/>
    <w:rsid w:val="000934B5"/>
    <w:rsid w:val="00093B47"/>
    <w:rsid w:val="000942A1"/>
    <w:rsid w:val="00094A5F"/>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354"/>
    <w:rsid w:val="000B48B6"/>
    <w:rsid w:val="000B5100"/>
    <w:rsid w:val="000B53BB"/>
    <w:rsid w:val="000B5697"/>
    <w:rsid w:val="000B5AF6"/>
    <w:rsid w:val="000B6082"/>
    <w:rsid w:val="000B616A"/>
    <w:rsid w:val="000B6915"/>
    <w:rsid w:val="000B6B25"/>
    <w:rsid w:val="000B6EF3"/>
    <w:rsid w:val="000B7849"/>
    <w:rsid w:val="000C00EA"/>
    <w:rsid w:val="000C011A"/>
    <w:rsid w:val="000C015C"/>
    <w:rsid w:val="000C053D"/>
    <w:rsid w:val="000C071F"/>
    <w:rsid w:val="000C0A3C"/>
    <w:rsid w:val="000C0C04"/>
    <w:rsid w:val="000C0C49"/>
    <w:rsid w:val="000C197E"/>
    <w:rsid w:val="000C265B"/>
    <w:rsid w:val="000C28E3"/>
    <w:rsid w:val="000C2D07"/>
    <w:rsid w:val="000C346F"/>
    <w:rsid w:val="000C3D8B"/>
    <w:rsid w:val="000C3DBB"/>
    <w:rsid w:val="000C45FD"/>
    <w:rsid w:val="000C5109"/>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357"/>
    <w:rsid w:val="000D6626"/>
    <w:rsid w:val="000D6D54"/>
    <w:rsid w:val="000D6FFB"/>
    <w:rsid w:val="000D7412"/>
    <w:rsid w:val="000D7D65"/>
    <w:rsid w:val="000E0C7D"/>
    <w:rsid w:val="000E14B3"/>
    <w:rsid w:val="000E166B"/>
    <w:rsid w:val="000E1BB5"/>
    <w:rsid w:val="000E2633"/>
    <w:rsid w:val="000E27CF"/>
    <w:rsid w:val="000E3216"/>
    <w:rsid w:val="000E3D57"/>
    <w:rsid w:val="000E3E67"/>
    <w:rsid w:val="000E448C"/>
    <w:rsid w:val="000E4D00"/>
    <w:rsid w:val="000E4FDA"/>
    <w:rsid w:val="000E524B"/>
    <w:rsid w:val="000E548D"/>
    <w:rsid w:val="000E5BD3"/>
    <w:rsid w:val="000E6E5C"/>
    <w:rsid w:val="000E706C"/>
    <w:rsid w:val="000E7AFA"/>
    <w:rsid w:val="000F061E"/>
    <w:rsid w:val="000F0E8B"/>
    <w:rsid w:val="000F1031"/>
    <w:rsid w:val="000F1ADB"/>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0AA"/>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066"/>
    <w:rsid w:val="0012222B"/>
    <w:rsid w:val="001224A0"/>
    <w:rsid w:val="001228AF"/>
    <w:rsid w:val="00123511"/>
    <w:rsid w:val="00123948"/>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96C"/>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2A2"/>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216"/>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2ED"/>
    <w:rsid w:val="00185969"/>
    <w:rsid w:val="00186AD6"/>
    <w:rsid w:val="00186F4F"/>
    <w:rsid w:val="00186F8A"/>
    <w:rsid w:val="00187BB1"/>
    <w:rsid w:val="001909E0"/>
    <w:rsid w:val="00190C0B"/>
    <w:rsid w:val="00190D94"/>
    <w:rsid w:val="001915F9"/>
    <w:rsid w:val="0019188E"/>
    <w:rsid w:val="00191D28"/>
    <w:rsid w:val="001921BB"/>
    <w:rsid w:val="00193934"/>
    <w:rsid w:val="001942DB"/>
    <w:rsid w:val="0019461B"/>
    <w:rsid w:val="00194B45"/>
    <w:rsid w:val="0019597A"/>
    <w:rsid w:val="00195BE2"/>
    <w:rsid w:val="00195E63"/>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5F61"/>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732"/>
    <w:rsid w:val="001D0853"/>
    <w:rsid w:val="001D1A64"/>
    <w:rsid w:val="001D202B"/>
    <w:rsid w:val="001D23C2"/>
    <w:rsid w:val="001D241B"/>
    <w:rsid w:val="001D2ABA"/>
    <w:rsid w:val="001D2C8A"/>
    <w:rsid w:val="001D33D2"/>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B0A"/>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BF2"/>
    <w:rsid w:val="001F7D48"/>
    <w:rsid w:val="001F7E57"/>
    <w:rsid w:val="0020044D"/>
    <w:rsid w:val="0020051C"/>
    <w:rsid w:val="00200DBD"/>
    <w:rsid w:val="00200FC8"/>
    <w:rsid w:val="002027D9"/>
    <w:rsid w:val="00202B08"/>
    <w:rsid w:val="00202BC3"/>
    <w:rsid w:val="00203389"/>
    <w:rsid w:val="00203804"/>
    <w:rsid w:val="002042F0"/>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78"/>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6C3"/>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640"/>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266"/>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406"/>
    <w:rsid w:val="002B5565"/>
    <w:rsid w:val="002B5808"/>
    <w:rsid w:val="002B5C72"/>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F53"/>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450"/>
    <w:rsid w:val="002F27B3"/>
    <w:rsid w:val="002F304A"/>
    <w:rsid w:val="002F3203"/>
    <w:rsid w:val="002F3323"/>
    <w:rsid w:val="002F366D"/>
    <w:rsid w:val="002F3AB4"/>
    <w:rsid w:val="002F41F9"/>
    <w:rsid w:val="002F462D"/>
    <w:rsid w:val="002F4AC9"/>
    <w:rsid w:val="002F4C8F"/>
    <w:rsid w:val="002F54FD"/>
    <w:rsid w:val="002F64BB"/>
    <w:rsid w:val="002F6AAA"/>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96D"/>
    <w:rsid w:val="003250C8"/>
    <w:rsid w:val="003258BB"/>
    <w:rsid w:val="003273C6"/>
    <w:rsid w:val="00327A6E"/>
    <w:rsid w:val="003300BD"/>
    <w:rsid w:val="00330795"/>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37A0D"/>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9A"/>
    <w:rsid w:val="003447A5"/>
    <w:rsid w:val="00345022"/>
    <w:rsid w:val="00345F76"/>
    <w:rsid w:val="00346539"/>
    <w:rsid w:val="0034688E"/>
    <w:rsid w:val="00346A2E"/>
    <w:rsid w:val="00346B6E"/>
    <w:rsid w:val="00347857"/>
    <w:rsid w:val="0034787E"/>
    <w:rsid w:val="00347AA0"/>
    <w:rsid w:val="00347E65"/>
    <w:rsid w:val="003503D8"/>
    <w:rsid w:val="00350908"/>
    <w:rsid w:val="0035090A"/>
    <w:rsid w:val="0035096E"/>
    <w:rsid w:val="00350ADD"/>
    <w:rsid w:val="00350B34"/>
    <w:rsid w:val="00350DA8"/>
    <w:rsid w:val="00351073"/>
    <w:rsid w:val="003511B6"/>
    <w:rsid w:val="003512C6"/>
    <w:rsid w:val="00351AFC"/>
    <w:rsid w:val="00352096"/>
    <w:rsid w:val="003522B4"/>
    <w:rsid w:val="00352D21"/>
    <w:rsid w:val="003530AE"/>
    <w:rsid w:val="003533A1"/>
    <w:rsid w:val="00353440"/>
    <w:rsid w:val="003539D6"/>
    <w:rsid w:val="00353A43"/>
    <w:rsid w:val="00353A4D"/>
    <w:rsid w:val="00353A6B"/>
    <w:rsid w:val="00353A6C"/>
    <w:rsid w:val="00354C8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0D6"/>
    <w:rsid w:val="00365B13"/>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225"/>
    <w:rsid w:val="00382BF6"/>
    <w:rsid w:val="00383AF2"/>
    <w:rsid w:val="00384091"/>
    <w:rsid w:val="00384126"/>
    <w:rsid w:val="0038483B"/>
    <w:rsid w:val="00384D39"/>
    <w:rsid w:val="00384F0A"/>
    <w:rsid w:val="003850E6"/>
    <w:rsid w:val="00385512"/>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C68"/>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E65"/>
    <w:rsid w:val="003C2408"/>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0"/>
    <w:rsid w:val="003D053B"/>
    <w:rsid w:val="003D24D5"/>
    <w:rsid w:val="003D24F2"/>
    <w:rsid w:val="003D36EA"/>
    <w:rsid w:val="003D3B25"/>
    <w:rsid w:val="003D3E24"/>
    <w:rsid w:val="003D3E60"/>
    <w:rsid w:val="003D402B"/>
    <w:rsid w:val="003D43A7"/>
    <w:rsid w:val="003D4A58"/>
    <w:rsid w:val="003D4B56"/>
    <w:rsid w:val="003D55B1"/>
    <w:rsid w:val="003D6825"/>
    <w:rsid w:val="003D69EB"/>
    <w:rsid w:val="003D6BC6"/>
    <w:rsid w:val="003D780C"/>
    <w:rsid w:val="003D7EDC"/>
    <w:rsid w:val="003E051E"/>
    <w:rsid w:val="003E08CC"/>
    <w:rsid w:val="003E0C15"/>
    <w:rsid w:val="003E0D12"/>
    <w:rsid w:val="003E0F6D"/>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3E0"/>
    <w:rsid w:val="004034B1"/>
    <w:rsid w:val="00403BE3"/>
    <w:rsid w:val="00403D9F"/>
    <w:rsid w:val="00403DA3"/>
    <w:rsid w:val="00404104"/>
    <w:rsid w:val="00404532"/>
    <w:rsid w:val="004046A7"/>
    <w:rsid w:val="0040471B"/>
    <w:rsid w:val="00404EFB"/>
    <w:rsid w:val="0040535C"/>
    <w:rsid w:val="004053E4"/>
    <w:rsid w:val="00405A02"/>
    <w:rsid w:val="00406A18"/>
    <w:rsid w:val="00406A6B"/>
    <w:rsid w:val="004071BE"/>
    <w:rsid w:val="00407323"/>
    <w:rsid w:val="0040762A"/>
    <w:rsid w:val="00407CC5"/>
    <w:rsid w:val="00407D98"/>
    <w:rsid w:val="0041011D"/>
    <w:rsid w:val="0041147C"/>
    <w:rsid w:val="00411630"/>
    <w:rsid w:val="00411677"/>
    <w:rsid w:val="0041206D"/>
    <w:rsid w:val="00412505"/>
    <w:rsid w:val="00412CFA"/>
    <w:rsid w:val="00412DD3"/>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1DC3"/>
    <w:rsid w:val="004220D1"/>
    <w:rsid w:val="0042232E"/>
    <w:rsid w:val="004224A8"/>
    <w:rsid w:val="00422D22"/>
    <w:rsid w:val="00423423"/>
    <w:rsid w:val="004237EC"/>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61A"/>
    <w:rsid w:val="00430959"/>
    <w:rsid w:val="00430A9D"/>
    <w:rsid w:val="00430AFC"/>
    <w:rsid w:val="00430B5E"/>
    <w:rsid w:val="00430FB5"/>
    <w:rsid w:val="0043148E"/>
    <w:rsid w:val="00431E51"/>
    <w:rsid w:val="00432110"/>
    <w:rsid w:val="00432872"/>
    <w:rsid w:val="00432924"/>
    <w:rsid w:val="00432AF8"/>
    <w:rsid w:val="00432BA6"/>
    <w:rsid w:val="00432D09"/>
    <w:rsid w:val="004333F5"/>
    <w:rsid w:val="00433490"/>
    <w:rsid w:val="0043367C"/>
    <w:rsid w:val="0043377B"/>
    <w:rsid w:val="00433C7B"/>
    <w:rsid w:val="00434B64"/>
    <w:rsid w:val="00435596"/>
    <w:rsid w:val="004355DA"/>
    <w:rsid w:val="00435796"/>
    <w:rsid w:val="004357B9"/>
    <w:rsid w:val="0043615B"/>
    <w:rsid w:val="00436950"/>
    <w:rsid w:val="00436B37"/>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B9C"/>
    <w:rsid w:val="00445CA4"/>
    <w:rsid w:val="00445FF7"/>
    <w:rsid w:val="00446C4B"/>
    <w:rsid w:val="004471AF"/>
    <w:rsid w:val="004472DA"/>
    <w:rsid w:val="00447371"/>
    <w:rsid w:val="0044761A"/>
    <w:rsid w:val="0044799B"/>
    <w:rsid w:val="00447D98"/>
    <w:rsid w:val="00447F06"/>
    <w:rsid w:val="004507FB"/>
    <w:rsid w:val="0045090F"/>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44F"/>
    <w:rsid w:val="004567B7"/>
    <w:rsid w:val="0045783E"/>
    <w:rsid w:val="00457CD9"/>
    <w:rsid w:val="00460099"/>
    <w:rsid w:val="004611AE"/>
    <w:rsid w:val="004611CD"/>
    <w:rsid w:val="00461210"/>
    <w:rsid w:val="00461527"/>
    <w:rsid w:val="004619DE"/>
    <w:rsid w:val="00461BB8"/>
    <w:rsid w:val="0046258B"/>
    <w:rsid w:val="004629DD"/>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3D4"/>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390"/>
    <w:rsid w:val="00484452"/>
    <w:rsid w:val="004845F8"/>
    <w:rsid w:val="00486BFC"/>
    <w:rsid w:val="00487291"/>
    <w:rsid w:val="00487495"/>
    <w:rsid w:val="00487E07"/>
    <w:rsid w:val="00490B88"/>
    <w:rsid w:val="00490BE2"/>
    <w:rsid w:val="00491695"/>
    <w:rsid w:val="004918A2"/>
    <w:rsid w:val="00492CF8"/>
    <w:rsid w:val="004931CE"/>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7CA"/>
    <w:rsid w:val="004A3926"/>
    <w:rsid w:val="004A3EA4"/>
    <w:rsid w:val="004A438D"/>
    <w:rsid w:val="004A45F3"/>
    <w:rsid w:val="004A4EE7"/>
    <w:rsid w:val="004A62A0"/>
    <w:rsid w:val="004A6EA7"/>
    <w:rsid w:val="004A6EDD"/>
    <w:rsid w:val="004A7241"/>
    <w:rsid w:val="004A7F28"/>
    <w:rsid w:val="004B0318"/>
    <w:rsid w:val="004B078A"/>
    <w:rsid w:val="004B07B8"/>
    <w:rsid w:val="004B116F"/>
    <w:rsid w:val="004B15CB"/>
    <w:rsid w:val="004B18F6"/>
    <w:rsid w:val="004B1A8D"/>
    <w:rsid w:val="004B1A98"/>
    <w:rsid w:val="004B1C58"/>
    <w:rsid w:val="004B225B"/>
    <w:rsid w:val="004B36B5"/>
    <w:rsid w:val="004B39AB"/>
    <w:rsid w:val="004B3D07"/>
    <w:rsid w:val="004B41DA"/>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A91"/>
    <w:rsid w:val="004C34FA"/>
    <w:rsid w:val="004C3558"/>
    <w:rsid w:val="004C3A13"/>
    <w:rsid w:val="004C3F4B"/>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5B0"/>
    <w:rsid w:val="004F2ADF"/>
    <w:rsid w:val="004F3489"/>
    <w:rsid w:val="004F3573"/>
    <w:rsid w:val="004F4ED7"/>
    <w:rsid w:val="004F53B8"/>
    <w:rsid w:val="004F5835"/>
    <w:rsid w:val="004F5B88"/>
    <w:rsid w:val="004F5C7E"/>
    <w:rsid w:val="004F64EC"/>
    <w:rsid w:val="004F72FD"/>
    <w:rsid w:val="004F76E2"/>
    <w:rsid w:val="004F7890"/>
    <w:rsid w:val="00500815"/>
    <w:rsid w:val="005011C4"/>
    <w:rsid w:val="00501B1E"/>
    <w:rsid w:val="00502410"/>
    <w:rsid w:val="00503196"/>
    <w:rsid w:val="005032CB"/>
    <w:rsid w:val="005036E5"/>
    <w:rsid w:val="00503BB1"/>
    <w:rsid w:val="00503D36"/>
    <w:rsid w:val="00503DBD"/>
    <w:rsid w:val="00503EDB"/>
    <w:rsid w:val="005048AB"/>
    <w:rsid w:val="00504BB0"/>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AB1"/>
    <w:rsid w:val="00537CBB"/>
    <w:rsid w:val="00540BBE"/>
    <w:rsid w:val="00541403"/>
    <w:rsid w:val="005416D3"/>
    <w:rsid w:val="0054239D"/>
    <w:rsid w:val="005423C4"/>
    <w:rsid w:val="0054246B"/>
    <w:rsid w:val="005424D2"/>
    <w:rsid w:val="00542BBF"/>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A46"/>
    <w:rsid w:val="00561D34"/>
    <w:rsid w:val="00561FCF"/>
    <w:rsid w:val="00562153"/>
    <w:rsid w:val="005626D9"/>
    <w:rsid w:val="00562791"/>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1285"/>
    <w:rsid w:val="00581AFC"/>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9D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C74E1"/>
    <w:rsid w:val="005D0100"/>
    <w:rsid w:val="005D05E3"/>
    <w:rsid w:val="005D0890"/>
    <w:rsid w:val="005D100E"/>
    <w:rsid w:val="005D10BA"/>
    <w:rsid w:val="005D1447"/>
    <w:rsid w:val="005D22A1"/>
    <w:rsid w:val="005D2387"/>
    <w:rsid w:val="005D353F"/>
    <w:rsid w:val="005D36FD"/>
    <w:rsid w:val="005D38B6"/>
    <w:rsid w:val="005D39A4"/>
    <w:rsid w:val="005D3B3E"/>
    <w:rsid w:val="005D3F16"/>
    <w:rsid w:val="005D4892"/>
    <w:rsid w:val="005D5435"/>
    <w:rsid w:val="005D62A1"/>
    <w:rsid w:val="005D6843"/>
    <w:rsid w:val="005D6AE3"/>
    <w:rsid w:val="005D6EA5"/>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805"/>
    <w:rsid w:val="005E5A6D"/>
    <w:rsid w:val="005E6405"/>
    <w:rsid w:val="005E65D7"/>
    <w:rsid w:val="005E672F"/>
    <w:rsid w:val="005E73FA"/>
    <w:rsid w:val="005E73FB"/>
    <w:rsid w:val="005E7408"/>
    <w:rsid w:val="005E7755"/>
    <w:rsid w:val="005E7B66"/>
    <w:rsid w:val="005E7CB4"/>
    <w:rsid w:val="005F0524"/>
    <w:rsid w:val="005F055D"/>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170"/>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D5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75E"/>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6C4"/>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23D"/>
    <w:rsid w:val="00656593"/>
    <w:rsid w:val="0065696A"/>
    <w:rsid w:val="00656E1E"/>
    <w:rsid w:val="00656E9F"/>
    <w:rsid w:val="006574B9"/>
    <w:rsid w:val="006574DD"/>
    <w:rsid w:val="006578CE"/>
    <w:rsid w:val="00657F49"/>
    <w:rsid w:val="0066005F"/>
    <w:rsid w:val="006612D1"/>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0F"/>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817"/>
    <w:rsid w:val="0067791A"/>
    <w:rsid w:val="00677925"/>
    <w:rsid w:val="00680725"/>
    <w:rsid w:val="00680DE0"/>
    <w:rsid w:val="00681C67"/>
    <w:rsid w:val="00681DFF"/>
    <w:rsid w:val="006821A0"/>
    <w:rsid w:val="006826FC"/>
    <w:rsid w:val="0068272C"/>
    <w:rsid w:val="00682871"/>
    <w:rsid w:val="006828EC"/>
    <w:rsid w:val="00682ACD"/>
    <w:rsid w:val="00682E8A"/>
    <w:rsid w:val="00683015"/>
    <w:rsid w:val="00683C73"/>
    <w:rsid w:val="006840BB"/>
    <w:rsid w:val="006844CD"/>
    <w:rsid w:val="00684D22"/>
    <w:rsid w:val="00685557"/>
    <w:rsid w:val="00686331"/>
    <w:rsid w:val="00686365"/>
    <w:rsid w:val="0068651A"/>
    <w:rsid w:val="00686852"/>
    <w:rsid w:val="0068693D"/>
    <w:rsid w:val="00687025"/>
    <w:rsid w:val="00687331"/>
    <w:rsid w:val="0068771B"/>
    <w:rsid w:val="00690307"/>
    <w:rsid w:val="006904DB"/>
    <w:rsid w:val="00690BD0"/>
    <w:rsid w:val="00690DE7"/>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690"/>
    <w:rsid w:val="006A6C06"/>
    <w:rsid w:val="006A6E95"/>
    <w:rsid w:val="006A746E"/>
    <w:rsid w:val="006A7816"/>
    <w:rsid w:val="006A7854"/>
    <w:rsid w:val="006A7FDB"/>
    <w:rsid w:val="006B04B6"/>
    <w:rsid w:val="006B0634"/>
    <w:rsid w:val="006B1197"/>
    <w:rsid w:val="006B22DE"/>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266"/>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6EFA"/>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4E"/>
    <w:rsid w:val="006F5F5A"/>
    <w:rsid w:val="006F61C2"/>
    <w:rsid w:val="006F6552"/>
    <w:rsid w:val="006F679B"/>
    <w:rsid w:val="006F6DE5"/>
    <w:rsid w:val="006F745B"/>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11C"/>
    <w:rsid w:val="007023A5"/>
    <w:rsid w:val="007032C9"/>
    <w:rsid w:val="00703723"/>
    <w:rsid w:val="00703802"/>
    <w:rsid w:val="00703976"/>
    <w:rsid w:val="00703E17"/>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028"/>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271"/>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3FC9"/>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86E"/>
    <w:rsid w:val="007A7FF4"/>
    <w:rsid w:val="007B04E8"/>
    <w:rsid w:val="007B0F99"/>
    <w:rsid w:val="007B18C4"/>
    <w:rsid w:val="007B228E"/>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8AC"/>
    <w:rsid w:val="007D5CB8"/>
    <w:rsid w:val="007D5D3E"/>
    <w:rsid w:val="007D689B"/>
    <w:rsid w:val="007D6DFF"/>
    <w:rsid w:val="007D711D"/>
    <w:rsid w:val="007D7ABB"/>
    <w:rsid w:val="007E0590"/>
    <w:rsid w:val="007E09EE"/>
    <w:rsid w:val="007E0A26"/>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E7F1D"/>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E87"/>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93F"/>
    <w:rsid w:val="00817D78"/>
    <w:rsid w:val="00817F48"/>
    <w:rsid w:val="008203BE"/>
    <w:rsid w:val="008204CD"/>
    <w:rsid w:val="008207F1"/>
    <w:rsid w:val="00820882"/>
    <w:rsid w:val="008213D7"/>
    <w:rsid w:val="00821449"/>
    <w:rsid w:val="00821698"/>
    <w:rsid w:val="008218C3"/>
    <w:rsid w:val="00821A4D"/>
    <w:rsid w:val="00822056"/>
    <w:rsid w:val="008223C7"/>
    <w:rsid w:val="00822FCB"/>
    <w:rsid w:val="00823109"/>
    <w:rsid w:val="00823639"/>
    <w:rsid w:val="0082369F"/>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46D"/>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40"/>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A46"/>
    <w:rsid w:val="00860B57"/>
    <w:rsid w:val="008613FA"/>
    <w:rsid w:val="008614A4"/>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B2"/>
    <w:rsid w:val="0087712E"/>
    <w:rsid w:val="008815D1"/>
    <w:rsid w:val="0088190E"/>
    <w:rsid w:val="00881920"/>
    <w:rsid w:val="00881A9A"/>
    <w:rsid w:val="00881C68"/>
    <w:rsid w:val="008823AA"/>
    <w:rsid w:val="00882419"/>
    <w:rsid w:val="00882EC6"/>
    <w:rsid w:val="00883481"/>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7F2"/>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54C4"/>
    <w:rsid w:val="008A6920"/>
    <w:rsid w:val="008A7C6D"/>
    <w:rsid w:val="008B042F"/>
    <w:rsid w:val="008B06B4"/>
    <w:rsid w:val="008B0A66"/>
    <w:rsid w:val="008B0F94"/>
    <w:rsid w:val="008B2555"/>
    <w:rsid w:val="008B26FB"/>
    <w:rsid w:val="008B2933"/>
    <w:rsid w:val="008B2E89"/>
    <w:rsid w:val="008B3A0A"/>
    <w:rsid w:val="008B45E7"/>
    <w:rsid w:val="008B471E"/>
    <w:rsid w:val="008B4FAE"/>
    <w:rsid w:val="008B5290"/>
    <w:rsid w:val="008B55FA"/>
    <w:rsid w:val="008B5FA1"/>
    <w:rsid w:val="008B60A7"/>
    <w:rsid w:val="008B6D94"/>
    <w:rsid w:val="008B6FEB"/>
    <w:rsid w:val="008B77B0"/>
    <w:rsid w:val="008C09EB"/>
    <w:rsid w:val="008C0B72"/>
    <w:rsid w:val="008C15E1"/>
    <w:rsid w:val="008C178D"/>
    <w:rsid w:val="008C1912"/>
    <w:rsid w:val="008C2186"/>
    <w:rsid w:val="008C22E1"/>
    <w:rsid w:val="008C24DA"/>
    <w:rsid w:val="008C2CF1"/>
    <w:rsid w:val="008C40F0"/>
    <w:rsid w:val="008C410A"/>
    <w:rsid w:val="008C5978"/>
    <w:rsid w:val="008C6516"/>
    <w:rsid w:val="008C66A0"/>
    <w:rsid w:val="008C715E"/>
    <w:rsid w:val="008C7185"/>
    <w:rsid w:val="008C7281"/>
    <w:rsid w:val="008D0DAD"/>
    <w:rsid w:val="008D1338"/>
    <w:rsid w:val="008D1B7C"/>
    <w:rsid w:val="008D1BF1"/>
    <w:rsid w:val="008D1CB3"/>
    <w:rsid w:val="008D267A"/>
    <w:rsid w:val="008D26DA"/>
    <w:rsid w:val="008D2BEA"/>
    <w:rsid w:val="008D33D5"/>
    <w:rsid w:val="008D3529"/>
    <w:rsid w:val="008D39F4"/>
    <w:rsid w:val="008D3B09"/>
    <w:rsid w:val="008D40FE"/>
    <w:rsid w:val="008D4565"/>
    <w:rsid w:val="008D47CB"/>
    <w:rsid w:val="008D4EC0"/>
    <w:rsid w:val="008D4FB9"/>
    <w:rsid w:val="008D5331"/>
    <w:rsid w:val="008D546E"/>
    <w:rsid w:val="008D5D4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954"/>
    <w:rsid w:val="008E6EDB"/>
    <w:rsid w:val="008E75C0"/>
    <w:rsid w:val="008E7FD7"/>
    <w:rsid w:val="008F0075"/>
    <w:rsid w:val="008F0734"/>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14E"/>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1C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3C4"/>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3C2"/>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4B"/>
    <w:rsid w:val="009B52DA"/>
    <w:rsid w:val="009B5455"/>
    <w:rsid w:val="009B54D7"/>
    <w:rsid w:val="009B5510"/>
    <w:rsid w:val="009B5530"/>
    <w:rsid w:val="009B59A9"/>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5D99"/>
    <w:rsid w:val="009D6311"/>
    <w:rsid w:val="009D6405"/>
    <w:rsid w:val="009D6408"/>
    <w:rsid w:val="009D65E8"/>
    <w:rsid w:val="009D6641"/>
    <w:rsid w:val="009D66B7"/>
    <w:rsid w:val="009D66F4"/>
    <w:rsid w:val="009D6F1C"/>
    <w:rsid w:val="009E00D3"/>
    <w:rsid w:val="009E035C"/>
    <w:rsid w:val="009E05D4"/>
    <w:rsid w:val="009E0941"/>
    <w:rsid w:val="009E0D84"/>
    <w:rsid w:val="009E128E"/>
    <w:rsid w:val="009E13B0"/>
    <w:rsid w:val="009E1441"/>
    <w:rsid w:val="009E19CB"/>
    <w:rsid w:val="009E1AE6"/>
    <w:rsid w:val="009E1D29"/>
    <w:rsid w:val="009E1F03"/>
    <w:rsid w:val="009E22D2"/>
    <w:rsid w:val="009E254A"/>
    <w:rsid w:val="009E2676"/>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6A9B"/>
    <w:rsid w:val="009F7762"/>
    <w:rsid w:val="009F77D3"/>
    <w:rsid w:val="009F78C2"/>
    <w:rsid w:val="009F7D66"/>
    <w:rsid w:val="00A00F75"/>
    <w:rsid w:val="00A0108C"/>
    <w:rsid w:val="00A01F46"/>
    <w:rsid w:val="00A02274"/>
    <w:rsid w:val="00A02837"/>
    <w:rsid w:val="00A036BA"/>
    <w:rsid w:val="00A03C77"/>
    <w:rsid w:val="00A0403A"/>
    <w:rsid w:val="00A040AC"/>
    <w:rsid w:val="00A043E3"/>
    <w:rsid w:val="00A04A3D"/>
    <w:rsid w:val="00A0574A"/>
    <w:rsid w:val="00A05C6C"/>
    <w:rsid w:val="00A05FC1"/>
    <w:rsid w:val="00A0640D"/>
    <w:rsid w:val="00A06B2E"/>
    <w:rsid w:val="00A078AA"/>
    <w:rsid w:val="00A07C3C"/>
    <w:rsid w:val="00A10156"/>
    <w:rsid w:val="00A10A6D"/>
    <w:rsid w:val="00A10CB1"/>
    <w:rsid w:val="00A111E1"/>
    <w:rsid w:val="00A133CC"/>
    <w:rsid w:val="00A138C9"/>
    <w:rsid w:val="00A13DCB"/>
    <w:rsid w:val="00A13EC0"/>
    <w:rsid w:val="00A15067"/>
    <w:rsid w:val="00A155CB"/>
    <w:rsid w:val="00A16296"/>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4FB5"/>
    <w:rsid w:val="00A25008"/>
    <w:rsid w:val="00A25136"/>
    <w:rsid w:val="00A25A80"/>
    <w:rsid w:val="00A25ABC"/>
    <w:rsid w:val="00A25F05"/>
    <w:rsid w:val="00A26040"/>
    <w:rsid w:val="00A262BF"/>
    <w:rsid w:val="00A2633F"/>
    <w:rsid w:val="00A26A2B"/>
    <w:rsid w:val="00A2793E"/>
    <w:rsid w:val="00A27B25"/>
    <w:rsid w:val="00A27EBA"/>
    <w:rsid w:val="00A27F75"/>
    <w:rsid w:val="00A305EE"/>
    <w:rsid w:val="00A30843"/>
    <w:rsid w:val="00A30AD2"/>
    <w:rsid w:val="00A30EB9"/>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553"/>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0A9"/>
    <w:rsid w:val="00A5026F"/>
    <w:rsid w:val="00A50461"/>
    <w:rsid w:val="00A50AC8"/>
    <w:rsid w:val="00A50CD6"/>
    <w:rsid w:val="00A52E06"/>
    <w:rsid w:val="00A539BC"/>
    <w:rsid w:val="00A53AFE"/>
    <w:rsid w:val="00A54DED"/>
    <w:rsid w:val="00A5525C"/>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3C3B"/>
    <w:rsid w:val="00A73C6F"/>
    <w:rsid w:val="00A7441E"/>
    <w:rsid w:val="00A74499"/>
    <w:rsid w:val="00A75457"/>
    <w:rsid w:val="00A755DE"/>
    <w:rsid w:val="00A75AA8"/>
    <w:rsid w:val="00A760A3"/>
    <w:rsid w:val="00A76587"/>
    <w:rsid w:val="00A768E6"/>
    <w:rsid w:val="00A76A6A"/>
    <w:rsid w:val="00A771C1"/>
    <w:rsid w:val="00A7745E"/>
    <w:rsid w:val="00A77907"/>
    <w:rsid w:val="00A80395"/>
    <w:rsid w:val="00A8046C"/>
    <w:rsid w:val="00A807C1"/>
    <w:rsid w:val="00A808E7"/>
    <w:rsid w:val="00A80B36"/>
    <w:rsid w:val="00A80DD0"/>
    <w:rsid w:val="00A81AD8"/>
    <w:rsid w:val="00A82078"/>
    <w:rsid w:val="00A82317"/>
    <w:rsid w:val="00A8293D"/>
    <w:rsid w:val="00A83337"/>
    <w:rsid w:val="00A83BE5"/>
    <w:rsid w:val="00A83CAE"/>
    <w:rsid w:val="00A83F92"/>
    <w:rsid w:val="00A842E9"/>
    <w:rsid w:val="00A84B1E"/>
    <w:rsid w:val="00A84CAA"/>
    <w:rsid w:val="00A84F70"/>
    <w:rsid w:val="00A85097"/>
    <w:rsid w:val="00A853AE"/>
    <w:rsid w:val="00A85568"/>
    <w:rsid w:val="00A856CA"/>
    <w:rsid w:val="00A85FA4"/>
    <w:rsid w:val="00A86633"/>
    <w:rsid w:val="00A869C8"/>
    <w:rsid w:val="00A86CC7"/>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614"/>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39C"/>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58A5"/>
    <w:rsid w:val="00AB5EF6"/>
    <w:rsid w:val="00AB6048"/>
    <w:rsid w:val="00AB6207"/>
    <w:rsid w:val="00AB6565"/>
    <w:rsid w:val="00AB694B"/>
    <w:rsid w:val="00AB70E3"/>
    <w:rsid w:val="00AB7151"/>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7BA"/>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0AAC"/>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517"/>
    <w:rsid w:val="00AF29BF"/>
    <w:rsid w:val="00AF2F89"/>
    <w:rsid w:val="00AF3873"/>
    <w:rsid w:val="00AF43A8"/>
    <w:rsid w:val="00AF5C0F"/>
    <w:rsid w:val="00AF5FE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A98"/>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17A3C"/>
    <w:rsid w:val="00B2019B"/>
    <w:rsid w:val="00B204BD"/>
    <w:rsid w:val="00B205C5"/>
    <w:rsid w:val="00B2086D"/>
    <w:rsid w:val="00B215D9"/>
    <w:rsid w:val="00B21C54"/>
    <w:rsid w:val="00B2251E"/>
    <w:rsid w:val="00B2289B"/>
    <w:rsid w:val="00B22A6A"/>
    <w:rsid w:val="00B22B01"/>
    <w:rsid w:val="00B2321B"/>
    <w:rsid w:val="00B23329"/>
    <w:rsid w:val="00B23502"/>
    <w:rsid w:val="00B237BB"/>
    <w:rsid w:val="00B23A7B"/>
    <w:rsid w:val="00B2469E"/>
    <w:rsid w:val="00B24762"/>
    <w:rsid w:val="00B24D5A"/>
    <w:rsid w:val="00B24EA4"/>
    <w:rsid w:val="00B253AB"/>
    <w:rsid w:val="00B25850"/>
    <w:rsid w:val="00B25AF0"/>
    <w:rsid w:val="00B264BE"/>
    <w:rsid w:val="00B26557"/>
    <w:rsid w:val="00B26804"/>
    <w:rsid w:val="00B26A85"/>
    <w:rsid w:val="00B26E08"/>
    <w:rsid w:val="00B27B69"/>
    <w:rsid w:val="00B3000E"/>
    <w:rsid w:val="00B304F9"/>
    <w:rsid w:val="00B30738"/>
    <w:rsid w:val="00B30BE3"/>
    <w:rsid w:val="00B313CD"/>
    <w:rsid w:val="00B31C46"/>
    <w:rsid w:val="00B31EE1"/>
    <w:rsid w:val="00B31FBE"/>
    <w:rsid w:val="00B322E3"/>
    <w:rsid w:val="00B32677"/>
    <w:rsid w:val="00B34B83"/>
    <w:rsid w:val="00B34D47"/>
    <w:rsid w:val="00B3523D"/>
    <w:rsid w:val="00B3552D"/>
    <w:rsid w:val="00B359CC"/>
    <w:rsid w:val="00B3604D"/>
    <w:rsid w:val="00B3670A"/>
    <w:rsid w:val="00B3799F"/>
    <w:rsid w:val="00B37F49"/>
    <w:rsid w:val="00B37F5A"/>
    <w:rsid w:val="00B40186"/>
    <w:rsid w:val="00B40B6C"/>
    <w:rsid w:val="00B4128C"/>
    <w:rsid w:val="00B4132E"/>
    <w:rsid w:val="00B416AE"/>
    <w:rsid w:val="00B41F22"/>
    <w:rsid w:val="00B420D5"/>
    <w:rsid w:val="00B420E2"/>
    <w:rsid w:val="00B42165"/>
    <w:rsid w:val="00B421B0"/>
    <w:rsid w:val="00B4229E"/>
    <w:rsid w:val="00B425CE"/>
    <w:rsid w:val="00B428B7"/>
    <w:rsid w:val="00B43347"/>
    <w:rsid w:val="00B435DA"/>
    <w:rsid w:val="00B43E31"/>
    <w:rsid w:val="00B449A9"/>
    <w:rsid w:val="00B44A60"/>
    <w:rsid w:val="00B44FEF"/>
    <w:rsid w:val="00B45015"/>
    <w:rsid w:val="00B4710E"/>
    <w:rsid w:val="00B4715C"/>
    <w:rsid w:val="00B47773"/>
    <w:rsid w:val="00B47A1C"/>
    <w:rsid w:val="00B47AFE"/>
    <w:rsid w:val="00B47B86"/>
    <w:rsid w:val="00B47E98"/>
    <w:rsid w:val="00B509A9"/>
    <w:rsid w:val="00B50A10"/>
    <w:rsid w:val="00B50FA0"/>
    <w:rsid w:val="00B5130D"/>
    <w:rsid w:val="00B51319"/>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B44"/>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01"/>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477E"/>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B23"/>
    <w:rsid w:val="00B84177"/>
    <w:rsid w:val="00B8458D"/>
    <w:rsid w:val="00B848AD"/>
    <w:rsid w:val="00B85D5B"/>
    <w:rsid w:val="00B86898"/>
    <w:rsid w:val="00B86B41"/>
    <w:rsid w:val="00B876C1"/>
    <w:rsid w:val="00B8799E"/>
    <w:rsid w:val="00B87CAE"/>
    <w:rsid w:val="00B87EF1"/>
    <w:rsid w:val="00B90922"/>
    <w:rsid w:val="00B90B6B"/>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1E0"/>
    <w:rsid w:val="00B9643E"/>
    <w:rsid w:val="00B96A72"/>
    <w:rsid w:val="00B975FF"/>
    <w:rsid w:val="00B97971"/>
    <w:rsid w:val="00BA0AD9"/>
    <w:rsid w:val="00BA2066"/>
    <w:rsid w:val="00BA2794"/>
    <w:rsid w:val="00BA30BB"/>
    <w:rsid w:val="00BA3E3E"/>
    <w:rsid w:val="00BA4BE0"/>
    <w:rsid w:val="00BA546D"/>
    <w:rsid w:val="00BA5595"/>
    <w:rsid w:val="00BA6367"/>
    <w:rsid w:val="00BA6446"/>
    <w:rsid w:val="00BA668E"/>
    <w:rsid w:val="00BA6C5B"/>
    <w:rsid w:val="00BA6FAD"/>
    <w:rsid w:val="00BA6FBC"/>
    <w:rsid w:val="00BA70AC"/>
    <w:rsid w:val="00BA7235"/>
    <w:rsid w:val="00BA7D32"/>
    <w:rsid w:val="00BB045C"/>
    <w:rsid w:val="00BB07B8"/>
    <w:rsid w:val="00BB0816"/>
    <w:rsid w:val="00BB0D1E"/>
    <w:rsid w:val="00BB26CB"/>
    <w:rsid w:val="00BB26EC"/>
    <w:rsid w:val="00BB28EC"/>
    <w:rsid w:val="00BB304F"/>
    <w:rsid w:val="00BB3347"/>
    <w:rsid w:val="00BB34D4"/>
    <w:rsid w:val="00BB3E2B"/>
    <w:rsid w:val="00BB3E8D"/>
    <w:rsid w:val="00BB4551"/>
    <w:rsid w:val="00BB45AF"/>
    <w:rsid w:val="00BB4CB5"/>
    <w:rsid w:val="00BB5817"/>
    <w:rsid w:val="00BB58BB"/>
    <w:rsid w:val="00BB5C8D"/>
    <w:rsid w:val="00BB5D7E"/>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13A"/>
    <w:rsid w:val="00BF76EB"/>
    <w:rsid w:val="00BF7E9B"/>
    <w:rsid w:val="00BF7FE5"/>
    <w:rsid w:val="00C0037D"/>
    <w:rsid w:val="00C00F2E"/>
    <w:rsid w:val="00C015F3"/>
    <w:rsid w:val="00C01863"/>
    <w:rsid w:val="00C01AE4"/>
    <w:rsid w:val="00C02A50"/>
    <w:rsid w:val="00C02C17"/>
    <w:rsid w:val="00C03458"/>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C23"/>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8DE"/>
    <w:rsid w:val="00C3196E"/>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4887"/>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31"/>
    <w:rsid w:val="00C55379"/>
    <w:rsid w:val="00C55B74"/>
    <w:rsid w:val="00C55C85"/>
    <w:rsid w:val="00C55F01"/>
    <w:rsid w:val="00C5616A"/>
    <w:rsid w:val="00C56D2D"/>
    <w:rsid w:val="00C56D48"/>
    <w:rsid w:val="00C5726B"/>
    <w:rsid w:val="00C572FB"/>
    <w:rsid w:val="00C5758D"/>
    <w:rsid w:val="00C57805"/>
    <w:rsid w:val="00C60425"/>
    <w:rsid w:val="00C60CEE"/>
    <w:rsid w:val="00C60F1F"/>
    <w:rsid w:val="00C60FAF"/>
    <w:rsid w:val="00C61142"/>
    <w:rsid w:val="00C61486"/>
    <w:rsid w:val="00C6163E"/>
    <w:rsid w:val="00C61E49"/>
    <w:rsid w:val="00C62065"/>
    <w:rsid w:val="00C62965"/>
    <w:rsid w:val="00C62AD9"/>
    <w:rsid w:val="00C6341D"/>
    <w:rsid w:val="00C63489"/>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F2F"/>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55D"/>
    <w:rsid w:val="00C76E32"/>
    <w:rsid w:val="00C7701D"/>
    <w:rsid w:val="00C77502"/>
    <w:rsid w:val="00C77675"/>
    <w:rsid w:val="00C77C25"/>
    <w:rsid w:val="00C77EA1"/>
    <w:rsid w:val="00C8069B"/>
    <w:rsid w:val="00C80C7A"/>
    <w:rsid w:val="00C80E46"/>
    <w:rsid w:val="00C81246"/>
    <w:rsid w:val="00C8133B"/>
    <w:rsid w:val="00C816B6"/>
    <w:rsid w:val="00C81A7E"/>
    <w:rsid w:val="00C8287D"/>
    <w:rsid w:val="00C82963"/>
    <w:rsid w:val="00C83BC6"/>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8E9"/>
    <w:rsid w:val="00C93B0E"/>
    <w:rsid w:val="00C93BF9"/>
    <w:rsid w:val="00C93DAF"/>
    <w:rsid w:val="00C9460C"/>
    <w:rsid w:val="00C947B6"/>
    <w:rsid w:val="00C9488D"/>
    <w:rsid w:val="00C948BB"/>
    <w:rsid w:val="00C948F1"/>
    <w:rsid w:val="00C9512B"/>
    <w:rsid w:val="00C95DAA"/>
    <w:rsid w:val="00C96B13"/>
    <w:rsid w:val="00C96B34"/>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C8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F91"/>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4B8"/>
    <w:rsid w:val="00CC55CE"/>
    <w:rsid w:val="00CC5D0C"/>
    <w:rsid w:val="00CC5E1E"/>
    <w:rsid w:val="00CC65C0"/>
    <w:rsid w:val="00CC71BF"/>
    <w:rsid w:val="00CC732E"/>
    <w:rsid w:val="00CC746E"/>
    <w:rsid w:val="00CD066C"/>
    <w:rsid w:val="00CD0971"/>
    <w:rsid w:val="00CD0A0B"/>
    <w:rsid w:val="00CD0CDB"/>
    <w:rsid w:val="00CD0D8A"/>
    <w:rsid w:val="00CD105A"/>
    <w:rsid w:val="00CD1642"/>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2C3A"/>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17BFD"/>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30F"/>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441"/>
    <w:rsid w:val="00D4162B"/>
    <w:rsid w:val="00D4201C"/>
    <w:rsid w:val="00D4237F"/>
    <w:rsid w:val="00D4261F"/>
    <w:rsid w:val="00D42D89"/>
    <w:rsid w:val="00D42FD1"/>
    <w:rsid w:val="00D43408"/>
    <w:rsid w:val="00D4389C"/>
    <w:rsid w:val="00D438D3"/>
    <w:rsid w:val="00D440F4"/>
    <w:rsid w:val="00D444D5"/>
    <w:rsid w:val="00D44A7B"/>
    <w:rsid w:val="00D44E66"/>
    <w:rsid w:val="00D46299"/>
    <w:rsid w:val="00D46AB1"/>
    <w:rsid w:val="00D46CCA"/>
    <w:rsid w:val="00D476E9"/>
    <w:rsid w:val="00D47C16"/>
    <w:rsid w:val="00D506E1"/>
    <w:rsid w:val="00D50890"/>
    <w:rsid w:val="00D50C12"/>
    <w:rsid w:val="00D510CF"/>
    <w:rsid w:val="00D51952"/>
    <w:rsid w:val="00D51E00"/>
    <w:rsid w:val="00D51F78"/>
    <w:rsid w:val="00D52374"/>
    <w:rsid w:val="00D5286F"/>
    <w:rsid w:val="00D52A5E"/>
    <w:rsid w:val="00D52AD9"/>
    <w:rsid w:val="00D52BFC"/>
    <w:rsid w:val="00D53109"/>
    <w:rsid w:val="00D5337B"/>
    <w:rsid w:val="00D536A4"/>
    <w:rsid w:val="00D5375D"/>
    <w:rsid w:val="00D53859"/>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A49"/>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AFE"/>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87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936"/>
    <w:rsid w:val="00DA3FFE"/>
    <w:rsid w:val="00DA49B9"/>
    <w:rsid w:val="00DA4AD5"/>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0BF9"/>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215"/>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84C"/>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DAC"/>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AB"/>
    <w:rsid w:val="00E30DC2"/>
    <w:rsid w:val="00E313B6"/>
    <w:rsid w:val="00E313CC"/>
    <w:rsid w:val="00E3151B"/>
    <w:rsid w:val="00E3165F"/>
    <w:rsid w:val="00E319EC"/>
    <w:rsid w:val="00E31EEB"/>
    <w:rsid w:val="00E324DF"/>
    <w:rsid w:val="00E326C3"/>
    <w:rsid w:val="00E34810"/>
    <w:rsid w:val="00E34909"/>
    <w:rsid w:val="00E34AE8"/>
    <w:rsid w:val="00E34BBC"/>
    <w:rsid w:val="00E35A29"/>
    <w:rsid w:val="00E36366"/>
    <w:rsid w:val="00E37672"/>
    <w:rsid w:val="00E37A81"/>
    <w:rsid w:val="00E37C6A"/>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9C6"/>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01"/>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149"/>
    <w:rsid w:val="00E612E5"/>
    <w:rsid w:val="00E615BA"/>
    <w:rsid w:val="00E622B1"/>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5A0"/>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5B71"/>
    <w:rsid w:val="00E9608D"/>
    <w:rsid w:val="00E9633E"/>
    <w:rsid w:val="00E967E9"/>
    <w:rsid w:val="00E96B20"/>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2B4"/>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40"/>
    <w:rsid w:val="00EB7E44"/>
    <w:rsid w:val="00EC0153"/>
    <w:rsid w:val="00EC0496"/>
    <w:rsid w:val="00EC06BB"/>
    <w:rsid w:val="00EC0BE6"/>
    <w:rsid w:val="00EC1231"/>
    <w:rsid w:val="00EC146F"/>
    <w:rsid w:val="00EC1833"/>
    <w:rsid w:val="00EC2024"/>
    <w:rsid w:val="00EC21F1"/>
    <w:rsid w:val="00EC2379"/>
    <w:rsid w:val="00EC23C2"/>
    <w:rsid w:val="00EC2CF9"/>
    <w:rsid w:val="00EC2F7E"/>
    <w:rsid w:val="00EC311A"/>
    <w:rsid w:val="00EC3645"/>
    <w:rsid w:val="00EC393D"/>
    <w:rsid w:val="00EC39BB"/>
    <w:rsid w:val="00EC3BF8"/>
    <w:rsid w:val="00EC505F"/>
    <w:rsid w:val="00EC5158"/>
    <w:rsid w:val="00EC52EB"/>
    <w:rsid w:val="00EC5648"/>
    <w:rsid w:val="00EC5C96"/>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48"/>
    <w:rsid w:val="00EE477D"/>
    <w:rsid w:val="00EE5837"/>
    <w:rsid w:val="00EE5C9E"/>
    <w:rsid w:val="00EE5D6C"/>
    <w:rsid w:val="00EE61B1"/>
    <w:rsid w:val="00EE63E6"/>
    <w:rsid w:val="00EE65A8"/>
    <w:rsid w:val="00EE69A6"/>
    <w:rsid w:val="00EE6B9A"/>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5D4"/>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1A"/>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8CE"/>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6E31"/>
    <w:rsid w:val="00F27318"/>
    <w:rsid w:val="00F278AD"/>
    <w:rsid w:val="00F27A7A"/>
    <w:rsid w:val="00F30425"/>
    <w:rsid w:val="00F3109B"/>
    <w:rsid w:val="00F32190"/>
    <w:rsid w:val="00F323E5"/>
    <w:rsid w:val="00F32EB8"/>
    <w:rsid w:val="00F3317A"/>
    <w:rsid w:val="00F3423B"/>
    <w:rsid w:val="00F343E8"/>
    <w:rsid w:val="00F349F2"/>
    <w:rsid w:val="00F34B32"/>
    <w:rsid w:val="00F365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863"/>
    <w:rsid w:val="00F46905"/>
    <w:rsid w:val="00F469C6"/>
    <w:rsid w:val="00F46AAA"/>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4EAF"/>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854"/>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77B41"/>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840"/>
    <w:rsid w:val="00F959F4"/>
    <w:rsid w:val="00F965F2"/>
    <w:rsid w:val="00F96A69"/>
    <w:rsid w:val="00F971DA"/>
    <w:rsid w:val="00F97611"/>
    <w:rsid w:val="00F976A4"/>
    <w:rsid w:val="00F97D19"/>
    <w:rsid w:val="00F97E7A"/>
    <w:rsid w:val="00FA09EB"/>
    <w:rsid w:val="00FA0AE0"/>
    <w:rsid w:val="00FA0C5A"/>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700"/>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C90"/>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3E67"/>
    <w:rsid w:val="00FD409B"/>
    <w:rsid w:val="00FD471E"/>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DBB"/>
    <w:rsid w:val="00FE536D"/>
    <w:rsid w:val="00FE631D"/>
    <w:rsid w:val="00FE6958"/>
    <w:rsid w:val="00FE6A1A"/>
    <w:rsid w:val="00FE6F69"/>
    <w:rsid w:val="00FE763F"/>
    <w:rsid w:val="00FE7C71"/>
    <w:rsid w:val="00FF0056"/>
    <w:rsid w:val="00FF12D4"/>
    <w:rsid w:val="00FF1692"/>
    <w:rsid w:val="00FF16F2"/>
    <w:rsid w:val="00FF1A3D"/>
    <w:rsid w:val="00FF1A5E"/>
    <w:rsid w:val="00FF1E70"/>
    <w:rsid w:val="00FF2046"/>
    <w:rsid w:val="00FF2175"/>
    <w:rsid w:val="00FF230C"/>
    <w:rsid w:val="00FF24A1"/>
    <w:rsid w:val="00FF26E4"/>
    <w:rsid w:val="00FF2B5B"/>
    <w:rsid w:val="00FF2FAB"/>
    <w:rsid w:val="00FF35D1"/>
    <w:rsid w:val="00FF3A19"/>
    <w:rsid w:val="00FF3A23"/>
    <w:rsid w:val="00FF3D60"/>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07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1307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1307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7020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4089727">
      <w:bodyDiv w:val="1"/>
      <w:marLeft w:val="0"/>
      <w:marRight w:val="0"/>
      <w:marTop w:val="0"/>
      <w:marBottom w:val="0"/>
      <w:divBdr>
        <w:top w:val="none" w:sz="0" w:space="0" w:color="auto"/>
        <w:left w:val="none" w:sz="0" w:space="0" w:color="auto"/>
        <w:bottom w:val="none" w:sz="0" w:space="0" w:color="auto"/>
        <w:right w:val="none" w:sz="0" w:space="0" w:color="auto"/>
      </w:divBdr>
      <w:divsChild>
        <w:div w:id="913079740">
          <w:marLeft w:val="1166"/>
          <w:marRight w:val="0"/>
          <w:marTop w:val="72"/>
          <w:marBottom w:val="0"/>
          <w:divBdr>
            <w:top w:val="none" w:sz="0" w:space="0" w:color="auto"/>
            <w:left w:val="none" w:sz="0" w:space="0" w:color="auto"/>
            <w:bottom w:val="none" w:sz="0" w:space="0" w:color="auto"/>
            <w:right w:val="none" w:sz="0" w:space="0" w:color="auto"/>
          </w:divBdr>
        </w:div>
        <w:div w:id="6323885">
          <w:marLeft w:val="1800"/>
          <w:marRight w:val="0"/>
          <w:marTop w:val="72"/>
          <w:marBottom w:val="0"/>
          <w:divBdr>
            <w:top w:val="none" w:sz="0" w:space="0" w:color="auto"/>
            <w:left w:val="none" w:sz="0" w:space="0" w:color="auto"/>
            <w:bottom w:val="none" w:sz="0" w:space="0" w:color="auto"/>
            <w:right w:val="none" w:sz="0" w:space="0" w:color="auto"/>
          </w:divBdr>
        </w:div>
        <w:div w:id="831261106">
          <w:marLeft w:val="2520"/>
          <w:marRight w:val="0"/>
          <w:marTop w:val="72"/>
          <w:marBottom w:val="0"/>
          <w:divBdr>
            <w:top w:val="none" w:sz="0" w:space="0" w:color="auto"/>
            <w:left w:val="none" w:sz="0" w:space="0" w:color="auto"/>
            <w:bottom w:val="none" w:sz="0" w:space="0" w:color="auto"/>
            <w:right w:val="none" w:sz="0" w:space="0" w:color="auto"/>
          </w:divBdr>
        </w:div>
        <w:div w:id="764614215">
          <w:marLeft w:val="2520"/>
          <w:marRight w:val="0"/>
          <w:marTop w:val="72"/>
          <w:marBottom w:val="0"/>
          <w:divBdr>
            <w:top w:val="none" w:sz="0" w:space="0" w:color="auto"/>
            <w:left w:val="none" w:sz="0" w:space="0" w:color="auto"/>
            <w:bottom w:val="none" w:sz="0" w:space="0" w:color="auto"/>
            <w:right w:val="none" w:sz="0" w:space="0" w:color="auto"/>
          </w:divBdr>
        </w:div>
        <w:div w:id="1669137818">
          <w:marLeft w:val="1800"/>
          <w:marRight w:val="0"/>
          <w:marTop w:val="72"/>
          <w:marBottom w:val="0"/>
          <w:divBdr>
            <w:top w:val="none" w:sz="0" w:space="0" w:color="auto"/>
            <w:left w:val="none" w:sz="0" w:space="0" w:color="auto"/>
            <w:bottom w:val="none" w:sz="0" w:space="0" w:color="auto"/>
            <w:right w:val="none" w:sz="0" w:space="0" w:color="auto"/>
          </w:divBdr>
        </w:div>
        <w:div w:id="175073514">
          <w:marLeft w:val="1166"/>
          <w:marRight w:val="0"/>
          <w:marTop w:val="91"/>
          <w:marBottom w:val="0"/>
          <w:divBdr>
            <w:top w:val="none" w:sz="0" w:space="0" w:color="auto"/>
            <w:left w:val="none" w:sz="0" w:space="0" w:color="auto"/>
            <w:bottom w:val="none" w:sz="0" w:space="0" w:color="auto"/>
            <w:right w:val="none" w:sz="0" w:space="0" w:color="auto"/>
          </w:divBdr>
        </w:div>
        <w:div w:id="26566272">
          <w:marLeft w:val="1800"/>
          <w:marRight w:val="0"/>
          <w:marTop w:val="82"/>
          <w:marBottom w:val="0"/>
          <w:divBdr>
            <w:top w:val="none" w:sz="0" w:space="0" w:color="auto"/>
            <w:left w:val="none" w:sz="0" w:space="0" w:color="auto"/>
            <w:bottom w:val="none" w:sz="0" w:space="0" w:color="auto"/>
            <w:right w:val="none" w:sz="0" w:space="0" w:color="auto"/>
          </w:divBdr>
        </w:div>
        <w:div w:id="297220660">
          <w:marLeft w:val="1800"/>
          <w:marRight w:val="0"/>
          <w:marTop w:val="82"/>
          <w:marBottom w:val="0"/>
          <w:divBdr>
            <w:top w:val="none" w:sz="0" w:space="0" w:color="auto"/>
            <w:left w:val="none" w:sz="0" w:space="0" w:color="auto"/>
            <w:bottom w:val="none" w:sz="0" w:space="0" w:color="auto"/>
            <w:right w:val="none" w:sz="0" w:space="0" w:color="auto"/>
          </w:divBdr>
        </w:div>
      </w:divsChild>
    </w:div>
    <w:div w:id="66616690">
      <w:bodyDiv w:val="1"/>
      <w:marLeft w:val="0"/>
      <w:marRight w:val="0"/>
      <w:marTop w:val="0"/>
      <w:marBottom w:val="0"/>
      <w:divBdr>
        <w:top w:val="none" w:sz="0" w:space="0" w:color="auto"/>
        <w:left w:val="none" w:sz="0" w:space="0" w:color="auto"/>
        <w:bottom w:val="none" w:sz="0" w:space="0" w:color="auto"/>
        <w:right w:val="none" w:sz="0" w:space="0" w:color="auto"/>
      </w:divBdr>
      <w:divsChild>
        <w:div w:id="866602782">
          <w:marLeft w:val="1166"/>
          <w:marRight w:val="0"/>
          <w:marTop w:val="58"/>
          <w:marBottom w:val="0"/>
          <w:divBdr>
            <w:top w:val="none" w:sz="0" w:space="0" w:color="auto"/>
            <w:left w:val="none" w:sz="0" w:space="0" w:color="auto"/>
            <w:bottom w:val="none" w:sz="0" w:space="0" w:color="auto"/>
            <w:right w:val="none" w:sz="0" w:space="0" w:color="auto"/>
          </w:divBdr>
        </w:div>
        <w:div w:id="850295081">
          <w:marLeft w:val="1800"/>
          <w:marRight w:val="0"/>
          <w:marTop w:val="43"/>
          <w:marBottom w:val="0"/>
          <w:divBdr>
            <w:top w:val="none" w:sz="0" w:space="0" w:color="auto"/>
            <w:left w:val="none" w:sz="0" w:space="0" w:color="auto"/>
            <w:bottom w:val="none" w:sz="0" w:space="0" w:color="auto"/>
            <w:right w:val="none" w:sz="0" w:space="0" w:color="auto"/>
          </w:divBdr>
        </w:div>
        <w:div w:id="658004679">
          <w:marLeft w:val="1800"/>
          <w:marRight w:val="0"/>
          <w:marTop w:val="43"/>
          <w:marBottom w:val="0"/>
          <w:divBdr>
            <w:top w:val="none" w:sz="0" w:space="0" w:color="auto"/>
            <w:left w:val="none" w:sz="0" w:space="0" w:color="auto"/>
            <w:bottom w:val="none" w:sz="0" w:space="0" w:color="auto"/>
            <w:right w:val="none" w:sz="0" w:space="0" w:color="auto"/>
          </w:divBdr>
        </w:div>
        <w:div w:id="2041125339">
          <w:marLeft w:val="1800"/>
          <w:marRight w:val="0"/>
          <w:marTop w:val="43"/>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2110819">
      <w:bodyDiv w:val="1"/>
      <w:marLeft w:val="0"/>
      <w:marRight w:val="0"/>
      <w:marTop w:val="0"/>
      <w:marBottom w:val="0"/>
      <w:divBdr>
        <w:top w:val="none" w:sz="0" w:space="0" w:color="auto"/>
        <w:left w:val="none" w:sz="0" w:space="0" w:color="auto"/>
        <w:bottom w:val="none" w:sz="0" w:space="0" w:color="auto"/>
        <w:right w:val="none" w:sz="0" w:space="0" w:color="auto"/>
      </w:divBdr>
      <w:divsChild>
        <w:div w:id="1146779348">
          <w:marLeft w:val="1166"/>
          <w:marRight w:val="0"/>
          <w:marTop w:val="58"/>
          <w:marBottom w:val="0"/>
          <w:divBdr>
            <w:top w:val="none" w:sz="0" w:space="0" w:color="auto"/>
            <w:left w:val="none" w:sz="0" w:space="0" w:color="auto"/>
            <w:bottom w:val="none" w:sz="0" w:space="0" w:color="auto"/>
            <w:right w:val="none" w:sz="0" w:space="0" w:color="auto"/>
          </w:divBdr>
        </w:div>
        <w:div w:id="427240617">
          <w:marLeft w:val="1166"/>
          <w:marRight w:val="0"/>
          <w:marTop w:val="58"/>
          <w:marBottom w:val="0"/>
          <w:divBdr>
            <w:top w:val="none" w:sz="0" w:space="0" w:color="auto"/>
            <w:left w:val="none" w:sz="0" w:space="0" w:color="auto"/>
            <w:bottom w:val="none" w:sz="0" w:space="0" w:color="auto"/>
            <w:right w:val="none" w:sz="0" w:space="0" w:color="auto"/>
          </w:divBdr>
        </w:div>
        <w:div w:id="1967349310">
          <w:marLeft w:val="1166"/>
          <w:marRight w:val="0"/>
          <w:marTop w:val="58"/>
          <w:marBottom w:val="0"/>
          <w:divBdr>
            <w:top w:val="none" w:sz="0" w:space="0" w:color="auto"/>
            <w:left w:val="none" w:sz="0" w:space="0" w:color="auto"/>
            <w:bottom w:val="none" w:sz="0" w:space="0" w:color="auto"/>
            <w:right w:val="none" w:sz="0" w:space="0" w:color="auto"/>
          </w:divBdr>
        </w:div>
      </w:divsChild>
    </w:div>
    <w:div w:id="160970390">
      <w:bodyDiv w:val="1"/>
      <w:marLeft w:val="0"/>
      <w:marRight w:val="0"/>
      <w:marTop w:val="0"/>
      <w:marBottom w:val="0"/>
      <w:divBdr>
        <w:top w:val="none" w:sz="0" w:space="0" w:color="auto"/>
        <w:left w:val="none" w:sz="0" w:space="0" w:color="auto"/>
        <w:bottom w:val="none" w:sz="0" w:space="0" w:color="auto"/>
        <w:right w:val="none" w:sz="0" w:space="0" w:color="auto"/>
      </w:divBdr>
      <w:divsChild>
        <w:div w:id="50036656">
          <w:marLeft w:val="547"/>
          <w:marRight w:val="0"/>
          <w:marTop w:val="115"/>
          <w:marBottom w:val="0"/>
          <w:divBdr>
            <w:top w:val="none" w:sz="0" w:space="0" w:color="auto"/>
            <w:left w:val="none" w:sz="0" w:space="0" w:color="auto"/>
            <w:bottom w:val="none" w:sz="0" w:space="0" w:color="auto"/>
            <w:right w:val="none" w:sz="0" w:space="0" w:color="auto"/>
          </w:divBdr>
        </w:div>
        <w:div w:id="778138005">
          <w:marLeft w:val="1166"/>
          <w:marRight w:val="0"/>
          <w:marTop w:val="96"/>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98127530">
      <w:bodyDiv w:val="1"/>
      <w:marLeft w:val="0"/>
      <w:marRight w:val="0"/>
      <w:marTop w:val="0"/>
      <w:marBottom w:val="0"/>
      <w:divBdr>
        <w:top w:val="none" w:sz="0" w:space="0" w:color="auto"/>
        <w:left w:val="none" w:sz="0" w:space="0" w:color="auto"/>
        <w:bottom w:val="none" w:sz="0" w:space="0" w:color="auto"/>
        <w:right w:val="none" w:sz="0" w:space="0" w:color="auto"/>
      </w:divBdr>
      <w:divsChild>
        <w:div w:id="1686904083">
          <w:marLeft w:val="1166"/>
          <w:marRight w:val="0"/>
          <w:marTop w:val="82"/>
          <w:marBottom w:val="0"/>
          <w:divBdr>
            <w:top w:val="none" w:sz="0" w:space="0" w:color="auto"/>
            <w:left w:val="none" w:sz="0" w:space="0" w:color="auto"/>
            <w:bottom w:val="none" w:sz="0" w:space="0" w:color="auto"/>
            <w:right w:val="none" w:sz="0" w:space="0" w:color="auto"/>
          </w:divBdr>
        </w:div>
        <w:div w:id="1236430615">
          <w:marLeft w:val="1800"/>
          <w:marRight w:val="0"/>
          <w:marTop w:val="62"/>
          <w:marBottom w:val="0"/>
          <w:divBdr>
            <w:top w:val="none" w:sz="0" w:space="0" w:color="auto"/>
            <w:left w:val="none" w:sz="0" w:space="0" w:color="auto"/>
            <w:bottom w:val="none" w:sz="0" w:space="0" w:color="auto"/>
            <w:right w:val="none" w:sz="0" w:space="0" w:color="auto"/>
          </w:divBdr>
        </w:div>
        <w:div w:id="1043209539">
          <w:marLeft w:val="2520"/>
          <w:marRight w:val="0"/>
          <w:marTop w:val="43"/>
          <w:marBottom w:val="0"/>
          <w:divBdr>
            <w:top w:val="none" w:sz="0" w:space="0" w:color="auto"/>
            <w:left w:val="none" w:sz="0" w:space="0" w:color="auto"/>
            <w:bottom w:val="none" w:sz="0" w:space="0" w:color="auto"/>
            <w:right w:val="none" w:sz="0" w:space="0" w:color="auto"/>
          </w:divBdr>
        </w:div>
        <w:div w:id="764040406">
          <w:marLeft w:val="3240"/>
          <w:marRight w:val="0"/>
          <w:marTop w:val="43"/>
          <w:marBottom w:val="0"/>
          <w:divBdr>
            <w:top w:val="none" w:sz="0" w:space="0" w:color="auto"/>
            <w:left w:val="none" w:sz="0" w:space="0" w:color="auto"/>
            <w:bottom w:val="none" w:sz="0" w:space="0" w:color="auto"/>
            <w:right w:val="none" w:sz="0" w:space="0" w:color="auto"/>
          </w:divBdr>
        </w:div>
        <w:div w:id="1553689316">
          <w:marLeft w:val="3240"/>
          <w:marRight w:val="0"/>
          <w:marTop w:val="43"/>
          <w:marBottom w:val="0"/>
          <w:divBdr>
            <w:top w:val="none" w:sz="0" w:space="0" w:color="auto"/>
            <w:left w:val="none" w:sz="0" w:space="0" w:color="auto"/>
            <w:bottom w:val="none" w:sz="0" w:space="0" w:color="auto"/>
            <w:right w:val="none" w:sz="0" w:space="0" w:color="auto"/>
          </w:divBdr>
        </w:div>
        <w:div w:id="51001636">
          <w:marLeft w:val="3240"/>
          <w:marRight w:val="0"/>
          <w:marTop w:val="43"/>
          <w:marBottom w:val="0"/>
          <w:divBdr>
            <w:top w:val="none" w:sz="0" w:space="0" w:color="auto"/>
            <w:left w:val="none" w:sz="0" w:space="0" w:color="auto"/>
            <w:bottom w:val="none" w:sz="0" w:space="0" w:color="auto"/>
            <w:right w:val="none" w:sz="0" w:space="0" w:color="auto"/>
          </w:divBdr>
        </w:div>
        <w:div w:id="521406768">
          <w:marLeft w:val="3240"/>
          <w:marRight w:val="0"/>
          <w:marTop w:val="43"/>
          <w:marBottom w:val="0"/>
          <w:divBdr>
            <w:top w:val="none" w:sz="0" w:space="0" w:color="auto"/>
            <w:left w:val="none" w:sz="0" w:space="0" w:color="auto"/>
            <w:bottom w:val="none" w:sz="0" w:space="0" w:color="auto"/>
            <w:right w:val="none" w:sz="0" w:space="0" w:color="auto"/>
          </w:divBdr>
        </w:div>
        <w:div w:id="1180310366">
          <w:marLeft w:val="2520"/>
          <w:marRight w:val="0"/>
          <w:marTop w:val="43"/>
          <w:marBottom w:val="0"/>
          <w:divBdr>
            <w:top w:val="none" w:sz="0" w:space="0" w:color="auto"/>
            <w:left w:val="none" w:sz="0" w:space="0" w:color="auto"/>
            <w:bottom w:val="none" w:sz="0" w:space="0" w:color="auto"/>
            <w:right w:val="none" w:sz="0" w:space="0" w:color="auto"/>
          </w:divBdr>
        </w:div>
        <w:div w:id="1131052816">
          <w:marLeft w:val="3240"/>
          <w:marRight w:val="0"/>
          <w:marTop w:val="43"/>
          <w:marBottom w:val="0"/>
          <w:divBdr>
            <w:top w:val="none" w:sz="0" w:space="0" w:color="auto"/>
            <w:left w:val="none" w:sz="0" w:space="0" w:color="auto"/>
            <w:bottom w:val="none" w:sz="0" w:space="0" w:color="auto"/>
            <w:right w:val="none" w:sz="0" w:space="0" w:color="auto"/>
          </w:divBdr>
        </w:div>
        <w:div w:id="1871646439">
          <w:marLeft w:val="3240"/>
          <w:marRight w:val="0"/>
          <w:marTop w:val="43"/>
          <w:marBottom w:val="0"/>
          <w:divBdr>
            <w:top w:val="none" w:sz="0" w:space="0" w:color="auto"/>
            <w:left w:val="none" w:sz="0" w:space="0" w:color="auto"/>
            <w:bottom w:val="none" w:sz="0" w:space="0" w:color="auto"/>
            <w:right w:val="none" w:sz="0" w:space="0" w:color="auto"/>
          </w:divBdr>
        </w:div>
        <w:div w:id="2090687888">
          <w:marLeft w:val="3240"/>
          <w:marRight w:val="0"/>
          <w:marTop w:val="43"/>
          <w:marBottom w:val="0"/>
          <w:divBdr>
            <w:top w:val="none" w:sz="0" w:space="0" w:color="auto"/>
            <w:left w:val="none" w:sz="0" w:space="0" w:color="auto"/>
            <w:bottom w:val="none" w:sz="0" w:space="0" w:color="auto"/>
            <w:right w:val="none" w:sz="0" w:space="0" w:color="auto"/>
          </w:divBdr>
        </w:div>
        <w:div w:id="68117886">
          <w:marLeft w:val="3240"/>
          <w:marRight w:val="0"/>
          <w:marTop w:val="43"/>
          <w:marBottom w:val="0"/>
          <w:divBdr>
            <w:top w:val="none" w:sz="0" w:space="0" w:color="auto"/>
            <w:left w:val="none" w:sz="0" w:space="0" w:color="auto"/>
            <w:bottom w:val="none" w:sz="0" w:space="0" w:color="auto"/>
            <w:right w:val="none" w:sz="0" w:space="0" w:color="auto"/>
          </w:divBdr>
        </w:div>
        <w:div w:id="969675757">
          <w:marLeft w:val="1800"/>
          <w:marRight w:val="0"/>
          <w:marTop w:val="62"/>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276625">
      <w:bodyDiv w:val="1"/>
      <w:marLeft w:val="0"/>
      <w:marRight w:val="0"/>
      <w:marTop w:val="0"/>
      <w:marBottom w:val="0"/>
      <w:divBdr>
        <w:top w:val="none" w:sz="0" w:space="0" w:color="auto"/>
        <w:left w:val="none" w:sz="0" w:space="0" w:color="auto"/>
        <w:bottom w:val="none" w:sz="0" w:space="0" w:color="auto"/>
        <w:right w:val="none" w:sz="0" w:space="0" w:color="auto"/>
      </w:divBdr>
      <w:divsChild>
        <w:div w:id="1774548787">
          <w:marLeft w:val="1699"/>
          <w:marRight w:val="0"/>
          <w:marTop w:val="120"/>
          <w:marBottom w:val="0"/>
          <w:divBdr>
            <w:top w:val="none" w:sz="0" w:space="0" w:color="auto"/>
            <w:left w:val="none" w:sz="0" w:space="0" w:color="auto"/>
            <w:bottom w:val="none" w:sz="0" w:space="0" w:color="auto"/>
            <w:right w:val="none" w:sz="0" w:space="0" w:color="auto"/>
          </w:divBdr>
        </w:div>
      </w:divsChild>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6950463">
      <w:bodyDiv w:val="1"/>
      <w:marLeft w:val="0"/>
      <w:marRight w:val="0"/>
      <w:marTop w:val="0"/>
      <w:marBottom w:val="0"/>
      <w:divBdr>
        <w:top w:val="none" w:sz="0" w:space="0" w:color="auto"/>
        <w:left w:val="none" w:sz="0" w:space="0" w:color="auto"/>
        <w:bottom w:val="none" w:sz="0" w:space="0" w:color="auto"/>
        <w:right w:val="none" w:sz="0" w:space="0" w:color="auto"/>
      </w:divBdr>
      <w:divsChild>
        <w:div w:id="1684093945">
          <w:marLeft w:val="1166"/>
          <w:marRight w:val="0"/>
          <w:marTop w:val="62"/>
          <w:marBottom w:val="0"/>
          <w:divBdr>
            <w:top w:val="none" w:sz="0" w:space="0" w:color="auto"/>
            <w:left w:val="none" w:sz="0" w:space="0" w:color="auto"/>
            <w:bottom w:val="none" w:sz="0" w:space="0" w:color="auto"/>
            <w:right w:val="none" w:sz="0" w:space="0" w:color="auto"/>
          </w:divBdr>
        </w:div>
        <w:div w:id="1396781177">
          <w:marLeft w:val="1166"/>
          <w:marRight w:val="0"/>
          <w:marTop w:val="62"/>
          <w:marBottom w:val="0"/>
          <w:divBdr>
            <w:top w:val="none" w:sz="0" w:space="0" w:color="auto"/>
            <w:left w:val="none" w:sz="0" w:space="0" w:color="auto"/>
            <w:bottom w:val="none" w:sz="0" w:space="0" w:color="auto"/>
            <w:right w:val="none" w:sz="0" w:space="0" w:color="auto"/>
          </w:divBdr>
        </w:div>
      </w:divsChild>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8502362">
      <w:bodyDiv w:val="1"/>
      <w:marLeft w:val="0"/>
      <w:marRight w:val="0"/>
      <w:marTop w:val="0"/>
      <w:marBottom w:val="0"/>
      <w:divBdr>
        <w:top w:val="none" w:sz="0" w:space="0" w:color="auto"/>
        <w:left w:val="none" w:sz="0" w:space="0" w:color="auto"/>
        <w:bottom w:val="none" w:sz="0" w:space="0" w:color="auto"/>
        <w:right w:val="none" w:sz="0" w:space="0" w:color="auto"/>
      </w:divBdr>
      <w:divsChild>
        <w:div w:id="946038103">
          <w:marLeft w:val="1166"/>
          <w:marRight w:val="0"/>
          <w:marTop w:val="91"/>
          <w:marBottom w:val="0"/>
          <w:divBdr>
            <w:top w:val="none" w:sz="0" w:space="0" w:color="auto"/>
            <w:left w:val="none" w:sz="0" w:space="0" w:color="auto"/>
            <w:bottom w:val="none" w:sz="0" w:space="0" w:color="auto"/>
            <w:right w:val="none" w:sz="0" w:space="0" w:color="auto"/>
          </w:divBdr>
        </w:div>
        <w:div w:id="1893224172">
          <w:marLeft w:val="1800"/>
          <w:marRight w:val="0"/>
          <w:marTop w:val="72"/>
          <w:marBottom w:val="0"/>
          <w:divBdr>
            <w:top w:val="none" w:sz="0" w:space="0" w:color="auto"/>
            <w:left w:val="none" w:sz="0" w:space="0" w:color="auto"/>
            <w:bottom w:val="none" w:sz="0" w:space="0" w:color="auto"/>
            <w:right w:val="none" w:sz="0" w:space="0" w:color="auto"/>
          </w:divBdr>
        </w:div>
        <w:div w:id="701706569">
          <w:marLeft w:val="1800"/>
          <w:marRight w:val="0"/>
          <w:marTop w:val="72"/>
          <w:marBottom w:val="0"/>
          <w:divBdr>
            <w:top w:val="none" w:sz="0" w:space="0" w:color="auto"/>
            <w:left w:val="none" w:sz="0" w:space="0" w:color="auto"/>
            <w:bottom w:val="none" w:sz="0" w:space="0" w:color="auto"/>
            <w:right w:val="none" w:sz="0" w:space="0" w:color="auto"/>
          </w:divBdr>
        </w:div>
        <w:div w:id="43911078">
          <w:marLeft w:val="1800"/>
          <w:marRight w:val="0"/>
          <w:marTop w:val="77"/>
          <w:marBottom w:val="0"/>
          <w:divBdr>
            <w:top w:val="none" w:sz="0" w:space="0" w:color="auto"/>
            <w:left w:val="none" w:sz="0" w:space="0" w:color="auto"/>
            <w:bottom w:val="none" w:sz="0" w:space="0" w:color="auto"/>
            <w:right w:val="none" w:sz="0" w:space="0" w:color="auto"/>
          </w:divBdr>
        </w:div>
        <w:div w:id="666326239">
          <w:marLeft w:val="1800"/>
          <w:marRight w:val="0"/>
          <w:marTop w:val="77"/>
          <w:marBottom w:val="0"/>
          <w:divBdr>
            <w:top w:val="none" w:sz="0" w:space="0" w:color="auto"/>
            <w:left w:val="none" w:sz="0" w:space="0" w:color="auto"/>
            <w:bottom w:val="none" w:sz="0" w:space="0" w:color="auto"/>
            <w:right w:val="none" w:sz="0" w:space="0" w:color="auto"/>
          </w:divBdr>
        </w:div>
        <w:div w:id="807091632">
          <w:marLeft w:val="2520"/>
          <w:marRight w:val="0"/>
          <w:marTop w:val="58"/>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27010527">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5316627">
      <w:bodyDiv w:val="1"/>
      <w:marLeft w:val="0"/>
      <w:marRight w:val="0"/>
      <w:marTop w:val="0"/>
      <w:marBottom w:val="0"/>
      <w:divBdr>
        <w:top w:val="none" w:sz="0" w:space="0" w:color="auto"/>
        <w:left w:val="none" w:sz="0" w:space="0" w:color="auto"/>
        <w:bottom w:val="none" w:sz="0" w:space="0" w:color="auto"/>
        <w:right w:val="none" w:sz="0" w:space="0" w:color="auto"/>
      </w:divBdr>
      <w:divsChild>
        <w:div w:id="856119444">
          <w:marLeft w:val="547"/>
          <w:marRight w:val="0"/>
          <w:marTop w:val="96"/>
          <w:marBottom w:val="0"/>
          <w:divBdr>
            <w:top w:val="none" w:sz="0" w:space="0" w:color="auto"/>
            <w:left w:val="none" w:sz="0" w:space="0" w:color="auto"/>
            <w:bottom w:val="none" w:sz="0" w:space="0" w:color="auto"/>
            <w:right w:val="none" w:sz="0" w:space="0" w:color="auto"/>
          </w:divBdr>
        </w:div>
        <w:div w:id="1114711555">
          <w:marLeft w:val="1166"/>
          <w:marRight w:val="0"/>
          <w:marTop w:val="82"/>
          <w:marBottom w:val="0"/>
          <w:divBdr>
            <w:top w:val="none" w:sz="0" w:space="0" w:color="auto"/>
            <w:left w:val="none" w:sz="0" w:space="0" w:color="auto"/>
            <w:bottom w:val="none" w:sz="0" w:space="0" w:color="auto"/>
            <w:right w:val="none" w:sz="0" w:space="0" w:color="auto"/>
          </w:divBdr>
        </w:div>
        <w:div w:id="811556419">
          <w:marLeft w:val="1166"/>
          <w:marRight w:val="0"/>
          <w:marTop w:val="96"/>
          <w:marBottom w:val="0"/>
          <w:divBdr>
            <w:top w:val="none" w:sz="0" w:space="0" w:color="auto"/>
            <w:left w:val="none" w:sz="0" w:space="0" w:color="auto"/>
            <w:bottom w:val="none" w:sz="0" w:space="0" w:color="auto"/>
            <w:right w:val="none" w:sz="0" w:space="0" w:color="auto"/>
          </w:divBdr>
        </w:div>
        <w:div w:id="159738359">
          <w:marLeft w:val="1800"/>
          <w:marRight w:val="0"/>
          <w:marTop w:val="82"/>
          <w:marBottom w:val="0"/>
          <w:divBdr>
            <w:top w:val="none" w:sz="0" w:space="0" w:color="auto"/>
            <w:left w:val="none" w:sz="0" w:space="0" w:color="auto"/>
            <w:bottom w:val="none" w:sz="0" w:space="0" w:color="auto"/>
            <w:right w:val="none" w:sz="0" w:space="0" w:color="auto"/>
          </w:divBdr>
        </w:div>
        <w:div w:id="2023047992">
          <w:marLeft w:val="2520"/>
          <w:marRight w:val="0"/>
          <w:marTop w:val="82"/>
          <w:marBottom w:val="0"/>
          <w:divBdr>
            <w:top w:val="none" w:sz="0" w:space="0" w:color="auto"/>
            <w:left w:val="none" w:sz="0" w:space="0" w:color="auto"/>
            <w:bottom w:val="none" w:sz="0" w:space="0" w:color="auto"/>
            <w:right w:val="none" w:sz="0" w:space="0" w:color="auto"/>
          </w:divBdr>
        </w:div>
        <w:div w:id="2102797452">
          <w:marLeft w:val="2520"/>
          <w:marRight w:val="0"/>
          <w:marTop w:val="82"/>
          <w:marBottom w:val="0"/>
          <w:divBdr>
            <w:top w:val="none" w:sz="0" w:space="0" w:color="auto"/>
            <w:left w:val="none" w:sz="0" w:space="0" w:color="auto"/>
            <w:bottom w:val="none" w:sz="0" w:space="0" w:color="auto"/>
            <w:right w:val="none" w:sz="0" w:space="0" w:color="auto"/>
          </w:divBdr>
        </w:div>
      </w:divsChild>
    </w:div>
    <w:div w:id="818494446">
      <w:bodyDiv w:val="1"/>
      <w:marLeft w:val="0"/>
      <w:marRight w:val="0"/>
      <w:marTop w:val="0"/>
      <w:marBottom w:val="0"/>
      <w:divBdr>
        <w:top w:val="none" w:sz="0" w:space="0" w:color="auto"/>
        <w:left w:val="none" w:sz="0" w:space="0" w:color="auto"/>
        <w:bottom w:val="none" w:sz="0" w:space="0" w:color="auto"/>
        <w:right w:val="none" w:sz="0" w:space="0" w:color="auto"/>
      </w:divBdr>
      <w:divsChild>
        <w:div w:id="1538617320">
          <w:marLeft w:val="547"/>
          <w:marRight w:val="0"/>
          <w:marTop w:val="86"/>
          <w:marBottom w:val="0"/>
          <w:divBdr>
            <w:top w:val="none" w:sz="0" w:space="0" w:color="auto"/>
            <w:left w:val="none" w:sz="0" w:space="0" w:color="auto"/>
            <w:bottom w:val="none" w:sz="0" w:space="0" w:color="auto"/>
            <w:right w:val="none" w:sz="0" w:space="0" w:color="auto"/>
          </w:divBdr>
        </w:div>
        <w:div w:id="1944536517">
          <w:marLeft w:val="1166"/>
          <w:marRight w:val="0"/>
          <w:marTop w:val="86"/>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4728344">
      <w:bodyDiv w:val="1"/>
      <w:marLeft w:val="0"/>
      <w:marRight w:val="0"/>
      <w:marTop w:val="0"/>
      <w:marBottom w:val="0"/>
      <w:divBdr>
        <w:top w:val="none" w:sz="0" w:space="0" w:color="auto"/>
        <w:left w:val="none" w:sz="0" w:space="0" w:color="auto"/>
        <w:bottom w:val="none" w:sz="0" w:space="0" w:color="auto"/>
        <w:right w:val="none" w:sz="0" w:space="0" w:color="auto"/>
      </w:divBdr>
      <w:divsChild>
        <w:div w:id="243730641">
          <w:marLeft w:val="1166"/>
          <w:marRight w:val="0"/>
          <w:marTop w:val="58"/>
          <w:marBottom w:val="0"/>
          <w:divBdr>
            <w:top w:val="none" w:sz="0" w:space="0" w:color="auto"/>
            <w:left w:val="none" w:sz="0" w:space="0" w:color="auto"/>
            <w:bottom w:val="none" w:sz="0" w:space="0" w:color="auto"/>
            <w:right w:val="none" w:sz="0" w:space="0" w:color="auto"/>
          </w:divBdr>
        </w:div>
        <w:div w:id="1949004591">
          <w:marLeft w:val="1800"/>
          <w:marRight w:val="0"/>
          <w:marTop w:val="50"/>
          <w:marBottom w:val="0"/>
          <w:divBdr>
            <w:top w:val="none" w:sz="0" w:space="0" w:color="auto"/>
            <w:left w:val="none" w:sz="0" w:space="0" w:color="auto"/>
            <w:bottom w:val="none" w:sz="0" w:space="0" w:color="auto"/>
            <w:right w:val="none" w:sz="0" w:space="0" w:color="auto"/>
          </w:divBdr>
        </w:div>
        <w:div w:id="1300500384">
          <w:marLeft w:val="1800"/>
          <w:marRight w:val="0"/>
          <w:marTop w:val="50"/>
          <w:marBottom w:val="0"/>
          <w:divBdr>
            <w:top w:val="none" w:sz="0" w:space="0" w:color="auto"/>
            <w:left w:val="none" w:sz="0" w:space="0" w:color="auto"/>
            <w:bottom w:val="none" w:sz="0" w:space="0" w:color="auto"/>
            <w:right w:val="none" w:sz="0" w:space="0" w:color="auto"/>
          </w:divBdr>
        </w:div>
        <w:div w:id="1158157476">
          <w:marLeft w:val="1800"/>
          <w:marRight w:val="0"/>
          <w:marTop w:val="50"/>
          <w:marBottom w:val="0"/>
          <w:divBdr>
            <w:top w:val="none" w:sz="0" w:space="0" w:color="auto"/>
            <w:left w:val="none" w:sz="0" w:space="0" w:color="auto"/>
            <w:bottom w:val="none" w:sz="0" w:space="0" w:color="auto"/>
            <w:right w:val="none" w:sz="0" w:space="0" w:color="auto"/>
          </w:divBdr>
        </w:div>
        <w:div w:id="1914505743">
          <w:marLeft w:val="2520"/>
          <w:marRight w:val="0"/>
          <w:marTop w:val="34"/>
          <w:marBottom w:val="0"/>
          <w:divBdr>
            <w:top w:val="none" w:sz="0" w:space="0" w:color="auto"/>
            <w:left w:val="none" w:sz="0" w:space="0" w:color="auto"/>
            <w:bottom w:val="none" w:sz="0" w:space="0" w:color="auto"/>
            <w:right w:val="none" w:sz="0" w:space="0" w:color="auto"/>
          </w:divBdr>
        </w:div>
        <w:div w:id="544954183">
          <w:marLeft w:val="2520"/>
          <w:marRight w:val="0"/>
          <w:marTop w:val="34"/>
          <w:marBottom w:val="0"/>
          <w:divBdr>
            <w:top w:val="none" w:sz="0" w:space="0" w:color="auto"/>
            <w:left w:val="none" w:sz="0" w:space="0" w:color="auto"/>
            <w:bottom w:val="none" w:sz="0" w:space="0" w:color="auto"/>
            <w:right w:val="none" w:sz="0" w:space="0" w:color="auto"/>
          </w:divBdr>
        </w:div>
        <w:div w:id="1238780500">
          <w:marLeft w:val="2520"/>
          <w:marRight w:val="0"/>
          <w:marTop w:val="34"/>
          <w:marBottom w:val="0"/>
          <w:divBdr>
            <w:top w:val="none" w:sz="0" w:space="0" w:color="auto"/>
            <w:left w:val="none" w:sz="0" w:space="0" w:color="auto"/>
            <w:bottom w:val="none" w:sz="0" w:space="0" w:color="auto"/>
            <w:right w:val="none" w:sz="0" w:space="0" w:color="auto"/>
          </w:divBdr>
        </w:div>
        <w:div w:id="1487092804">
          <w:marLeft w:val="2520"/>
          <w:marRight w:val="0"/>
          <w:marTop w:val="34"/>
          <w:marBottom w:val="0"/>
          <w:divBdr>
            <w:top w:val="none" w:sz="0" w:space="0" w:color="auto"/>
            <w:left w:val="none" w:sz="0" w:space="0" w:color="auto"/>
            <w:bottom w:val="none" w:sz="0" w:space="0" w:color="auto"/>
            <w:right w:val="none" w:sz="0" w:space="0" w:color="auto"/>
          </w:divBdr>
        </w:div>
        <w:div w:id="821000016">
          <w:marLeft w:val="1166"/>
          <w:marRight w:val="0"/>
          <w:marTop w:val="58"/>
          <w:marBottom w:val="0"/>
          <w:divBdr>
            <w:top w:val="none" w:sz="0" w:space="0" w:color="auto"/>
            <w:left w:val="none" w:sz="0" w:space="0" w:color="auto"/>
            <w:bottom w:val="none" w:sz="0" w:space="0" w:color="auto"/>
            <w:right w:val="none" w:sz="0" w:space="0" w:color="auto"/>
          </w:divBdr>
        </w:div>
        <w:div w:id="230384032">
          <w:marLeft w:val="1800"/>
          <w:marRight w:val="0"/>
          <w:marTop w:val="50"/>
          <w:marBottom w:val="0"/>
          <w:divBdr>
            <w:top w:val="none" w:sz="0" w:space="0" w:color="auto"/>
            <w:left w:val="none" w:sz="0" w:space="0" w:color="auto"/>
            <w:bottom w:val="none" w:sz="0" w:space="0" w:color="auto"/>
            <w:right w:val="none" w:sz="0" w:space="0" w:color="auto"/>
          </w:divBdr>
        </w:div>
        <w:div w:id="1243179400">
          <w:marLeft w:val="1800"/>
          <w:marRight w:val="0"/>
          <w:marTop w:val="5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126245">
      <w:bodyDiv w:val="1"/>
      <w:marLeft w:val="0"/>
      <w:marRight w:val="0"/>
      <w:marTop w:val="0"/>
      <w:marBottom w:val="0"/>
      <w:divBdr>
        <w:top w:val="none" w:sz="0" w:space="0" w:color="auto"/>
        <w:left w:val="none" w:sz="0" w:space="0" w:color="auto"/>
        <w:bottom w:val="none" w:sz="0" w:space="0" w:color="auto"/>
        <w:right w:val="none" w:sz="0" w:space="0" w:color="auto"/>
      </w:divBdr>
      <w:divsChild>
        <w:div w:id="802121430">
          <w:marLeft w:val="547"/>
          <w:marRight w:val="0"/>
          <w:marTop w:val="134"/>
          <w:marBottom w:val="0"/>
          <w:divBdr>
            <w:top w:val="none" w:sz="0" w:space="0" w:color="auto"/>
            <w:left w:val="none" w:sz="0" w:space="0" w:color="auto"/>
            <w:bottom w:val="none" w:sz="0" w:space="0" w:color="auto"/>
            <w:right w:val="none" w:sz="0" w:space="0" w:color="auto"/>
          </w:divBdr>
        </w:div>
        <w:div w:id="443305864">
          <w:marLeft w:val="1166"/>
          <w:marRight w:val="0"/>
          <w:marTop w:val="115"/>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39897357">
      <w:bodyDiv w:val="1"/>
      <w:marLeft w:val="0"/>
      <w:marRight w:val="0"/>
      <w:marTop w:val="0"/>
      <w:marBottom w:val="0"/>
      <w:divBdr>
        <w:top w:val="none" w:sz="0" w:space="0" w:color="auto"/>
        <w:left w:val="none" w:sz="0" w:space="0" w:color="auto"/>
        <w:bottom w:val="none" w:sz="0" w:space="0" w:color="auto"/>
        <w:right w:val="none" w:sz="0" w:space="0" w:color="auto"/>
      </w:divBdr>
      <w:divsChild>
        <w:div w:id="1077245933">
          <w:marLeft w:val="547"/>
          <w:marRight w:val="0"/>
          <w:marTop w:val="82"/>
          <w:marBottom w:val="0"/>
          <w:divBdr>
            <w:top w:val="none" w:sz="0" w:space="0" w:color="auto"/>
            <w:left w:val="none" w:sz="0" w:space="0" w:color="auto"/>
            <w:bottom w:val="none" w:sz="0" w:space="0" w:color="auto"/>
            <w:right w:val="none" w:sz="0" w:space="0" w:color="auto"/>
          </w:divBdr>
        </w:div>
        <w:div w:id="487523670">
          <w:marLeft w:val="1166"/>
          <w:marRight w:val="0"/>
          <w:marTop w:val="82"/>
          <w:marBottom w:val="0"/>
          <w:divBdr>
            <w:top w:val="none" w:sz="0" w:space="0" w:color="auto"/>
            <w:left w:val="none" w:sz="0" w:space="0" w:color="auto"/>
            <w:bottom w:val="none" w:sz="0" w:space="0" w:color="auto"/>
            <w:right w:val="none" w:sz="0" w:space="0" w:color="auto"/>
          </w:divBdr>
        </w:div>
        <w:div w:id="39550871">
          <w:marLeft w:val="1800"/>
          <w:marRight w:val="0"/>
          <w:marTop w:val="82"/>
          <w:marBottom w:val="0"/>
          <w:divBdr>
            <w:top w:val="none" w:sz="0" w:space="0" w:color="auto"/>
            <w:left w:val="none" w:sz="0" w:space="0" w:color="auto"/>
            <w:bottom w:val="none" w:sz="0" w:space="0" w:color="auto"/>
            <w:right w:val="none" w:sz="0" w:space="0" w:color="auto"/>
          </w:divBdr>
        </w:div>
        <w:div w:id="977221729">
          <w:marLeft w:val="1800"/>
          <w:marRight w:val="0"/>
          <w:marTop w:val="82"/>
          <w:marBottom w:val="0"/>
          <w:divBdr>
            <w:top w:val="none" w:sz="0" w:space="0" w:color="auto"/>
            <w:left w:val="none" w:sz="0" w:space="0" w:color="auto"/>
            <w:bottom w:val="none" w:sz="0" w:space="0" w:color="auto"/>
            <w:right w:val="none" w:sz="0" w:space="0" w:color="auto"/>
          </w:divBdr>
        </w:div>
        <w:div w:id="386345592">
          <w:marLeft w:val="1800"/>
          <w:marRight w:val="0"/>
          <w:marTop w:val="82"/>
          <w:marBottom w:val="0"/>
          <w:divBdr>
            <w:top w:val="none" w:sz="0" w:space="0" w:color="auto"/>
            <w:left w:val="none" w:sz="0" w:space="0" w:color="auto"/>
            <w:bottom w:val="none" w:sz="0" w:space="0" w:color="auto"/>
            <w:right w:val="none" w:sz="0" w:space="0" w:color="auto"/>
          </w:divBdr>
        </w:div>
        <w:div w:id="1286229489">
          <w:marLeft w:val="1800"/>
          <w:marRight w:val="0"/>
          <w:marTop w:val="82"/>
          <w:marBottom w:val="0"/>
          <w:divBdr>
            <w:top w:val="none" w:sz="0" w:space="0" w:color="auto"/>
            <w:left w:val="none" w:sz="0" w:space="0" w:color="auto"/>
            <w:bottom w:val="none" w:sz="0" w:space="0" w:color="auto"/>
            <w:right w:val="none" w:sz="0" w:space="0" w:color="auto"/>
          </w:divBdr>
        </w:div>
        <w:div w:id="1946620398">
          <w:marLeft w:val="1800"/>
          <w:marRight w:val="0"/>
          <w:marTop w:val="82"/>
          <w:marBottom w:val="0"/>
          <w:divBdr>
            <w:top w:val="none" w:sz="0" w:space="0" w:color="auto"/>
            <w:left w:val="none" w:sz="0" w:space="0" w:color="auto"/>
            <w:bottom w:val="none" w:sz="0" w:space="0" w:color="auto"/>
            <w:right w:val="none" w:sz="0" w:space="0" w:color="auto"/>
          </w:divBdr>
        </w:div>
        <w:div w:id="1956212729">
          <w:marLeft w:val="1800"/>
          <w:marRight w:val="0"/>
          <w:marTop w:val="82"/>
          <w:marBottom w:val="0"/>
          <w:divBdr>
            <w:top w:val="none" w:sz="0" w:space="0" w:color="auto"/>
            <w:left w:val="none" w:sz="0" w:space="0" w:color="auto"/>
            <w:bottom w:val="none" w:sz="0" w:space="0" w:color="auto"/>
            <w:right w:val="none" w:sz="0" w:space="0" w:color="auto"/>
          </w:divBdr>
        </w:div>
        <w:div w:id="1536189048">
          <w:marLeft w:val="1800"/>
          <w:marRight w:val="0"/>
          <w:marTop w:val="82"/>
          <w:marBottom w:val="0"/>
          <w:divBdr>
            <w:top w:val="none" w:sz="0" w:space="0" w:color="auto"/>
            <w:left w:val="none" w:sz="0" w:space="0" w:color="auto"/>
            <w:bottom w:val="none" w:sz="0" w:space="0" w:color="auto"/>
            <w:right w:val="none" w:sz="0" w:space="0" w:color="auto"/>
          </w:divBdr>
        </w:div>
      </w:divsChild>
    </w:div>
    <w:div w:id="1319503944">
      <w:bodyDiv w:val="1"/>
      <w:marLeft w:val="0"/>
      <w:marRight w:val="0"/>
      <w:marTop w:val="0"/>
      <w:marBottom w:val="0"/>
      <w:divBdr>
        <w:top w:val="none" w:sz="0" w:space="0" w:color="auto"/>
        <w:left w:val="none" w:sz="0" w:space="0" w:color="auto"/>
        <w:bottom w:val="none" w:sz="0" w:space="0" w:color="auto"/>
        <w:right w:val="none" w:sz="0" w:space="0" w:color="auto"/>
      </w:divBdr>
      <w:divsChild>
        <w:div w:id="1743748236">
          <w:marLeft w:val="1166"/>
          <w:marRight w:val="0"/>
          <w:marTop w:val="62"/>
          <w:marBottom w:val="0"/>
          <w:divBdr>
            <w:top w:val="none" w:sz="0" w:space="0" w:color="auto"/>
            <w:left w:val="none" w:sz="0" w:space="0" w:color="auto"/>
            <w:bottom w:val="none" w:sz="0" w:space="0" w:color="auto"/>
            <w:right w:val="none" w:sz="0" w:space="0" w:color="auto"/>
          </w:divBdr>
        </w:div>
        <w:div w:id="988828170">
          <w:marLeft w:val="1166"/>
          <w:marRight w:val="0"/>
          <w:marTop w:val="62"/>
          <w:marBottom w:val="0"/>
          <w:divBdr>
            <w:top w:val="none" w:sz="0" w:space="0" w:color="auto"/>
            <w:left w:val="none" w:sz="0" w:space="0" w:color="auto"/>
            <w:bottom w:val="none" w:sz="0" w:space="0" w:color="auto"/>
            <w:right w:val="none" w:sz="0" w:space="0" w:color="auto"/>
          </w:divBdr>
        </w:div>
        <w:div w:id="465511705">
          <w:marLeft w:val="1166"/>
          <w:marRight w:val="0"/>
          <w:marTop w:val="62"/>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3481016">
      <w:bodyDiv w:val="1"/>
      <w:marLeft w:val="0"/>
      <w:marRight w:val="0"/>
      <w:marTop w:val="0"/>
      <w:marBottom w:val="0"/>
      <w:divBdr>
        <w:top w:val="none" w:sz="0" w:space="0" w:color="auto"/>
        <w:left w:val="none" w:sz="0" w:space="0" w:color="auto"/>
        <w:bottom w:val="none" w:sz="0" w:space="0" w:color="auto"/>
        <w:right w:val="none" w:sz="0" w:space="0" w:color="auto"/>
      </w:divBdr>
      <w:divsChild>
        <w:div w:id="1591695522">
          <w:marLeft w:val="1699"/>
          <w:marRight w:val="0"/>
          <w:marTop w:val="12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2853162">
      <w:bodyDiv w:val="1"/>
      <w:marLeft w:val="0"/>
      <w:marRight w:val="0"/>
      <w:marTop w:val="0"/>
      <w:marBottom w:val="0"/>
      <w:divBdr>
        <w:top w:val="none" w:sz="0" w:space="0" w:color="auto"/>
        <w:left w:val="none" w:sz="0" w:space="0" w:color="auto"/>
        <w:bottom w:val="none" w:sz="0" w:space="0" w:color="auto"/>
        <w:right w:val="none" w:sz="0" w:space="0" w:color="auto"/>
      </w:divBdr>
      <w:divsChild>
        <w:div w:id="410935665">
          <w:marLeft w:val="1166"/>
          <w:marRight w:val="0"/>
          <w:marTop w:val="82"/>
          <w:marBottom w:val="0"/>
          <w:divBdr>
            <w:top w:val="none" w:sz="0" w:space="0" w:color="auto"/>
            <w:left w:val="none" w:sz="0" w:space="0" w:color="auto"/>
            <w:bottom w:val="none" w:sz="0" w:space="0" w:color="auto"/>
            <w:right w:val="none" w:sz="0" w:space="0" w:color="auto"/>
          </w:divBdr>
        </w:div>
        <w:div w:id="36050770">
          <w:marLeft w:val="1800"/>
          <w:marRight w:val="0"/>
          <w:marTop w:val="62"/>
          <w:marBottom w:val="0"/>
          <w:divBdr>
            <w:top w:val="none" w:sz="0" w:space="0" w:color="auto"/>
            <w:left w:val="none" w:sz="0" w:space="0" w:color="auto"/>
            <w:bottom w:val="none" w:sz="0" w:space="0" w:color="auto"/>
            <w:right w:val="none" w:sz="0" w:space="0" w:color="auto"/>
          </w:divBdr>
        </w:div>
        <w:div w:id="1851333168">
          <w:marLeft w:val="2520"/>
          <w:marRight w:val="0"/>
          <w:marTop w:val="48"/>
          <w:marBottom w:val="0"/>
          <w:divBdr>
            <w:top w:val="none" w:sz="0" w:space="0" w:color="auto"/>
            <w:left w:val="none" w:sz="0" w:space="0" w:color="auto"/>
            <w:bottom w:val="none" w:sz="0" w:space="0" w:color="auto"/>
            <w:right w:val="none" w:sz="0" w:space="0" w:color="auto"/>
          </w:divBdr>
        </w:div>
        <w:div w:id="1771193393">
          <w:marLeft w:val="3240"/>
          <w:marRight w:val="0"/>
          <w:marTop w:val="48"/>
          <w:marBottom w:val="0"/>
          <w:divBdr>
            <w:top w:val="none" w:sz="0" w:space="0" w:color="auto"/>
            <w:left w:val="none" w:sz="0" w:space="0" w:color="auto"/>
            <w:bottom w:val="none" w:sz="0" w:space="0" w:color="auto"/>
            <w:right w:val="none" w:sz="0" w:space="0" w:color="auto"/>
          </w:divBdr>
        </w:div>
        <w:div w:id="482891548">
          <w:marLeft w:val="3240"/>
          <w:marRight w:val="0"/>
          <w:marTop w:val="48"/>
          <w:marBottom w:val="0"/>
          <w:divBdr>
            <w:top w:val="none" w:sz="0" w:space="0" w:color="auto"/>
            <w:left w:val="none" w:sz="0" w:space="0" w:color="auto"/>
            <w:bottom w:val="none" w:sz="0" w:space="0" w:color="auto"/>
            <w:right w:val="none" w:sz="0" w:space="0" w:color="auto"/>
          </w:divBdr>
        </w:div>
        <w:div w:id="2103404473">
          <w:marLeft w:val="2520"/>
          <w:marRight w:val="0"/>
          <w:marTop w:val="48"/>
          <w:marBottom w:val="0"/>
          <w:divBdr>
            <w:top w:val="none" w:sz="0" w:space="0" w:color="auto"/>
            <w:left w:val="none" w:sz="0" w:space="0" w:color="auto"/>
            <w:bottom w:val="none" w:sz="0" w:space="0" w:color="auto"/>
            <w:right w:val="none" w:sz="0" w:space="0" w:color="auto"/>
          </w:divBdr>
        </w:div>
        <w:div w:id="1749037354">
          <w:marLeft w:val="3240"/>
          <w:marRight w:val="0"/>
          <w:marTop w:val="48"/>
          <w:marBottom w:val="0"/>
          <w:divBdr>
            <w:top w:val="none" w:sz="0" w:space="0" w:color="auto"/>
            <w:left w:val="none" w:sz="0" w:space="0" w:color="auto"/>
            <w:bottom w:val="none" w:sz="0" w:space="0" w:color="auto"/>
            <w:right w:val="none" w:sz="0" w:space="0" w:color="auto"/>
          </w:divBdr>
        </w:div>
        <w:div w:id="600725628">
          <w:marLeft w:val="3240"/>
          <w:marRight w:val="0"/>
          <w:marTop w:val="48"/>
          <w:marBottom w:val="0"/>
          <w:divBdr>
            <w:top w:val="none" w:sz="0" w:space="0" w:color="auto"/>
            <w:left w:val="none" w:sz="0" w:space="0" w:color="auto"/>
            <w:bottom w:val="none" w:sz="0" w:space="0" w:color="auto"/>
            <w:right w:val="none" w:sz="0" w:space="0" w:color="auto"/>
          </w:divBdr>
        </w:div>
        <w:div w:id="783614988">
          <w:marLeft w:val="1800"/>
          <w:marRight w:val="0"/>
          <w:marTop w:val="62"/>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379886">
      <w:bodyDiv w:val="1"/>
      <w:marLeft w:val="0"/>
      <w:marRight w:val="0"/>
      <w:marTop w:val="0"/>
      <w:marBottom w:val="0"/>
      <w:divBdr>
        <w:top w:val="none" w:sz="0" w:space="0" w:color="auto"/>
        <w:left w:val="none" w:sz="0" w:space="0" w:color="auto"/>
        <w:bottom w:val="none" w:sz="0" w:space="0" w:color="auto"/>
        <w:right w:val="none" w:sz="0" w:space="0" w:color="auto"/>
      </w:divBdr>
      <w:divsChild>
        <w:div w:id="231811925">
          <w:marLeft w:val="1166"/>
          <w:marRight w:val="0"/>
          <w:marTop w:val="82"/>
          <w:marBottom w:val="0"/>
          <w:divBdr>
            <w:top w:val="none" w:sz="0" w:space="0" w:color="auto"/>
            <w:left w:val="none" w:sz="0" w:space="0" w:color="auto"/>
            <w:bottom w:val="none" w:sz="0" w:space="0" w:color="auto"/>
            <w:right w:val="none" w:sz="0" w:space="0" w:color="auto"/>
          </w:divBdr>
        </w:div>
        <w:div w:id="2012829930">
          <w:marLeft w:val="1166"/>
          <w:marRight w:val="0"/>
          <w:marTop w:val="82"/>
          <w:marBottom w:val="0"/>
          <w:divBdr>
            <w:top w:val="none" w:sz="0" w:space="0" w:color="auto"/>
            <w:left w:val="none" w:sz="0" w:space="0" w:color="auto"/>
            <w:bottom w:val="none" w:sz="0" w:space="0" w:color="auto"/>
            <w:right w:val="none" w:sz="0" w:space="0" w:color="auto"/>
          </w:divBdr>
        </w:div>
        <w:div w:id="797527167">
          <w:marLeft w:val="1800"/>
          <w:marRight w:val="0"/>
          <w:marTop w:val="62"/>
          <w:marBottom w:val="0"/>
          <w:divBdr>
            <w:top w:val="none" w:sz="0" w:space="0" w:color="auto"/>
            <w:left w:val="none" w:sz="0" w:space="0" w:color="auto"/>
            <w:bottom w:val="none" w:sz="0" w:space="0" w:color="auto"/>
            <w:right w:val="none" w:sz="0" w:space="0" w:color="auto"/>
          </w:divBdr>
        </w:div>
        <w:div w:id="60294643">
          <w:marLeft w:val="1800"/>
          <w:marRight w:val="0"/>
          <w:marTop w:val="62"/>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069458">
      <w:bodyDiv w:val="1"/>
      <w:marLeft w:val="0"/>
      <w:marRight w:val="0"/>
      <w:marTop w:val="0"/>
      <w:marBottom w:val="0"/>
      <w:divBdr>
        <w:top w:val="none" w:sz="0" w:space="0" w:color="auto"/>
        <w:left w:val="none" w:sz="0" w:space="0" w:color="auto"/>
        <w:bottom w:val="none" w:sz="0" w:space="0" w:color="auto"/>
        <w:right w:val="none" w:sz="0" w:space="0" w:color="auto"/>
      </w:divBdr>
      <w:divsChild>
        <w:div w:id="422146484">
          <w:marLeft w:val="547"/>
          <w:marRight w:val="0"/>
          <w:marTop w:val="67"/>
          <w:marBottom w:val="0"/>
          <w:divBdr>
            <w:top w:val="none" w:sz="0" w:space="0" w:color="auto"/>
            <w:left w:val="none" w:sz="0" w:space="0" w:color="auto"/>
            <w:bottom w:val="none" w:sz="0" w:space="0" w:color="auto"/>
            <w:right w:val="none" w:sz="0" w:space="0" w:color="auto"/>
          </w:divBdr>
        </w:div>
        <w:div w:id="598564517">
          <w:marLeft w:val="1166"/>
          <w:marRight w:val="0"/>
          <w:marTop w:val="58"/>
          <w:marBottom w:val="0"/>
          <w:divBdr>
            <w:top w:val="none" w:sz="0" w:space="0" w:color="auto"/>
            <w:left w:val="none" w:sz="0" w:space="0" w:color="auto"/>
            <w:bottom w:val="none" w:sz="0" w:space="0" w:color="auto"/>
            <w:right w:val="none" w:sz="0" w:space="0" w:color="auto"/>
          </w:divBdr>
        </w:div>
        <w:div w:id="1037893956">
          <w:marLeft w:val="1800"/>
          <w:marRight w:val="0"/>
          <w:marTop w:val="58"/>
          <w:marBottom w:val="0"/>
          <w:divBdr>
            <w:top w:val="none" w:sz="0" w:space="0" w:color="auto"/>
            <w:left w:val="none" w:sz="0" w:space="0" w:color="auto"/>
            <w:bottom w:val="none" w:sz="0" w:space="0" w:color="auto"/>
            <w:right w:val="none" w:sz="0" w:space="0" w:color="auto"/>
          </w:divBdr>
        </w:div>
        <w:div w:id="88619495">
          <w:marLeft w:val="1800"/>
          <w:marRight w:val="0"/>
          <w:marTop w:val="58"/>
          <w:marBottom w:val="0"/>
          <w:divBdr>
            <w:top w:val="none" w:sz="0" w:space="0" w:color="auto"/>
            <w:left w:val="none" w:sz="0" w:space="0" w:color="auto"/>
            <w:bottom w:val="none" w:sz="0" w:space="0" w:color="auto"/>
            <w:right w:val="none" w:sz="0" w:space="0" w:color="auto"/>
          </w:divBdr>
        </w:div>
        <w:div w:id="1310938432">
          <w:marLeft w:val="1166"/>
          <w:marRight w:val="0"/>
          <w:marTop w:val="58"/>
          <w:marBottom w:val="0"/>
          <w:divBdr>
            <w:top w:val="none" w:sz="0" w:space="0" w:color="auto"/>
            <w:left w:val="none" w:sz="0" w:space="0" w:color="auto"/>
            <w:bottom w:val="none" w:sz="0" w:space="0" w:color="auto"/>
            <w:right w:val="none" w:sz="0" w:space="0" w:color="auto"/>
          </w:divBdr>
        </w:div>
        <w:div w:id="181092523">
          <w:marLeft w:val="1166"/>
          <w:marRight w:val="0"/>
          <w:marTop w:val="58"/>
          <w:marBottom w:val="0"/>
          <w:divBdr>
            <w:top w:val="none" w:sz="0" w:space="0" w:color="auto"/>
            <w:left w:val="none" w:sz="0" w:space="0" w:color="auto"/>
            <w:bottom w:val="none" w:sz="0" w:space="0" w:color="auto"/>
            <w:right w:val="none" w:sz="0" w:space="0" w:color="auto"/>
          </w:divBdr>
        </w:div>
        <w:div w:id="426537617">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971788">
      <w:bodyDiv w:val="1"/>
      <w:marLeft w:val="0"/>
      <w:marRight w:val="0"/>
      <w:marTop w:val="0"/>
      <w:marBottom w:val="0"/>
      <w:divBdr>
        <w:top w:val="none" w:sz="0" w:space="0" w:color="auto"/>
        <w:left w:val="none" w:sz="0" w:space="0" w:color="auto"/>
        <w:bottom w:val="none" w:sz="0" w:space="0" w:color="auto"/>
        <w:right w:val="none" w:sz="0" w:space="0" w:color="auto"/>
      </w:divBdr>
      <w:divsChild>
        <w:div w:id="1686907327">
          <w:marLeft w:val="547"/>
          <w:marRight w:val="0"/>
          <w:marTop w:val="91"/>
          <w:marBottom w:val="0"/>
          <w:divBdr>
            <w:top w:val="none" w:sz="0" w:space="0" w:color="auto"/>
            <w:left w:val="none" w:sz="0" w:space="0" w:color="auto"/>
            <w:bottom w:val="none" w:sz="0" w:space="0" w:color="auto"/>
            <w:right w:val="none" w:sz="0" w:space="0" w:color="auto"/>
          </w:divBdr>
        </w:div>
        <w:div w:id="671222035">
          <w:marLeft w:val="547"/>
          <w:marRight w:val="0"/>
          <w:marTop w:val="91"/>
          <w:marBottom w:val="0"/>
          <w:divBdr>
            <w:top w:val="none" w:sz="0" w:space="0" w:color="auto"/>
            <w:left w:val="none" w:sz="0" w:space="0" w:color="auto"/>
            <w:bottom w:val="none" w:sz="0" w:space="0" w:color="auto"/>
            <w:right w:val="none" w:sz="0" w:space="0" w:color="auto"/>
          </w:divBdr>
        </w:div>
        <w:div w:id="114106068">
          <w:marLeft w:val="1166"/>
          <w:marRight w:val="0"/>
          <w:marTop w:val="72"/>
          <w:marBottom w:val="0"/>
          <w:divBdr>
            <w:top w:val="none" w:sz="0" w:space="0" w:color="auto"/>
            <w:left w:val="none" w:sz="0" w:space="0" w:color="auto"/>
            <w:bottom w:val="none" w:sz="0" w:space="0" w:color="auto"/>
            <w:right w:val="none" w:sz="0" w:space="0" w:color="auto"/>
          </w:divBdr>
        </w:div>
        <w:div w:id="859977242">
          <w:marLeft w:val="1166"/>
          <w:marRight w:val="0"/>
          <w:marTop w:val="72"/>
          <w:marBottom w:val="0"/>
          <w:divBdr>
            <w:top w:val="none" w:sz="0" w:space="0" w:color="auto"/>
            <w:left w:val="none" w:sz="0" w:space="0" w:color="auto"/>
            <w:bottom w:val="none" w:sz="0" w:space="0" w:color="auto"/>
            <w:right w:val="none" w:sz="0" w:space="0" w:color="auto"/>
          </w:divBdr>
        </w:div>
        <w:div w:id="1384282384">
          <w:marLeft w:val="1800"/>
          <w:marRight w:val="0"/>
          <w:marTop w:val="72"/>
          <w:marBottom w:val="0"/>
          <w:divBdr>
            <w:top w:val="none" w:sz="0" w:space="0" w:color="auto"/>
            <w:left w:val="none" w:sz="0" w:space="0" w:color="auto"/>
            <w:bottom w:val="none" w:sz="0" w:space="0" w:color="auto"/>
            <w:right w:val="none" w:sz="0" w:space="0" w:color="auto"/>
          </w:divBdr>
        </w:div>
        <w:div w:id="959342398">
          <w:marLeft w:val="1166"/>
          <w:marRight w:val="0"/>
          <w:marTop w:val="72"/>
          <w:marBottom w:val="0"/>
          <w:divBdr>
            <w:top w:val="none" w:sz="0" w:space="0" w:color="auto"/>
            <w:left w:val="none" w:sz="0" w:space="0" w:color="auto"/>
            <w:bottom w:val="none" w:sz="0" w:space="0" w:color="auto"/>
            <w:right w:val="none" w:sz="0" w:space="0" w:color="auto"/>
          </w:divBdr>
        </w:div>
        <w:div w:id="2145660629">
          <w:marLeft w:val="1166"/>
          <w:marRight w:val="0"/>
          <w:marTop w:val="72"/>
          <w:marBottom w:val="0"/>
          <w:divBdr>
            <w:top w:val="none" w:sz="0" w:space="0" w:color="auto"/>
            <w:left w:val="none" w:sz="0" w:space="0" w:color="auto"/>
            <w:bottom w:val="none" w:sz="0" w:space="0" w:color="auto"/>
            <w:right w:val="none" w:sz="0" w:space="0" w:color="auto"/>
          </w:divBdr>
        </w:div>
        <w:div w:id="306017190">
          <w:marLeft w:val="1166"/>
          <w:marRight w:val="0"/>
          <w:marTop w:val="72"/>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6866741">
      <w:bodyDiv w:val="1"/>
      <w:marLeft w:val="0"/>
      <w:marRight w:val="0"/>
      <w:marTop w:val="0"/>
      <w:marBottom w:val="0"/>
      <w:divBdr>
        <w:top w:val="none" w:sz="0" w:space="0" w:color="auto"/>
        <w:left w:val="none" w:sz="0" w:space="0" w:color="auto"/>
        <w:bottom w:val="none" w:sz="0" w:space="0" w:color="auto"/>
        <w:right w:val="none" w:sz="0" w:space="0" w:color="auto"/>
      </w:divBdr>
      <w:divsChild>
        <w:div w:id="1118186205">
          <w:marLeft w:val="1166"/>
          <w:marRight w:val="0"/>
          <w:marTop w:val="96"/>
          <w:marBottom w:val="0"/>
          <w:divBdr>
            <w:top w:val="none" w:sz="0" w:space="0" w:color="auto"/>
            <w:left w:val="none" w:sz="0" w:space="0" w:color="auto"/>
            <w:bottom w:val="none" w:sz="0" w:space="0" w:color="auto"/>
            <w:right w:val="none" w:sz="0" w:space="0" w:color="auto"/>
          </w:divBdr>
        </w:div>
        <w:div w:id="989214663">
          <w:marLeft w:val="1800"/>
          <w:marRight w:val="0"/>
          <w:marTop w:val="77"/>
          <w:marBottom w:val="0"/>
          <w:divBdr>
            <w:top w:val="none" w:sz="0" w:space="0" w:color="auto"/>
            <w:left w:val="none" w:sz="0" w:space="0" w:color="auto"/>
            <w:bottom w:val="none" w:sz="0" w:space="0" w:color="auto"/>
            <w:right w:val="none" w:sz="0" w:space="0" w:color="auto"/>
          </w:divBdr>
        </w:div>
        <w:div w:id="1881284741">
          <w:marLeft w:val="1800"/>
          <w:marRight w:val="0"/>
          <w:marTop w:val="77"/>
          <w:marBottom w:val="0"/>
          <w:divBdr>
            <w:top w:val="none" w:sz="0" w:space="0" w:color="auto"/>
            <w:left w:val="none" w:sz="0" w:space="0" w:color="auto"/>
            <w:bottom w:val="none" w:sz="0" w:space="0" w:color="auto"/>
            <w:right w:val="none" w:sz="0" w:space="0" w:color="auto"/>
          </w:divBdr>
        </w:div>
        <w:div w:id="1453937438">
          <w:marLeft w:val="2520"/>
          <w:marRight w:val="0"/>
          <w:marTop w:val="58"/>
          <w:marBottom w:val="0"/>
          <w:divBdr>
            <w:top w:val="none" w:sz="0" w:space="0" w:color="auto"/>
            <w:left w:val="none" w:sz="0" w:space="0" w:color="auto"/>
            <w:bottom w:val="none" w:sz="0" w:space="0" w:color="auto"/>
            <w:right w:val="none" w:sz="0" w:space="0" w:color="auto"/>
          </w:divBdr>
        </w:div>
        <w:div w:id="1786382539">
          <w:marLeft w:val="2520"/>
          <w:marRight w:val="0"/>
          <w:marTop w:val="58"/>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0624133">
      <w:bodyDiv w:val="1"/>
      <w:marLeft w:val="0"/>
      <w:marRight w:val="0"/>
      <w:marTop w:val="0"/>
      <w:marBottom w:val="0"/>
      <w:divBdr>
        <w:top w:val="none" w:sz="0" w:space="0" w:color="auto"/>
        <w:left w:val="none" w:sz="0" w:space="0" w:color="auto"/>
        <w:bottom w:val="none" w:sz="0" w:space="0" w:color="auto"/>
        <w:right w:val="none" w:sz="0" w:space="0" w:color="auto"/>
      </w:divBdr>
      <w:divsChild>
        <w:div w:id="16390158">
          <w:marLeft w:val="1166"/>
          <w:marRight w:val="0"/>
          <w:marTop w:val="77"/>
          <w:marBottom w:val="0"/>
          <w:divBdr>
            <w:top w:val="none" w:sz="0" w:space="0" w:color="auto"/>
            <w:left w:val="none" w:sz="0" w:space="0" w:color="auto"/>
            <w:bottom w:val="none" w:sz="0" w:space="0" w:color="auto"/>
            <w:right w:val="none" w:sz="0" w:space="0" w:color="auto"/>
          </w:divBdr>
        </w:div>
        <w:div w:id="826870143">
          <w:marLeft w:val="1800"/>
          <w:marRight w:val="0"/>
          <w:marTop w:val="5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930317">
      <w:bodyDiv w:val="1"/>
      <w:marLeft w:val="0"/>
      <w:marRight w:val="0"/>
      <w:marTop w:val="0"/>
      <w:marBottom w:val="0"/>
      <w:divBdr>
        <w:top w:val="none" w:sz="0" w:space="0" w:color="auto"/>
        <w:left w:val="none" w:sz="0" w:space="0" w:color="auto"/>
        <w:bottom w:val="none" w:sz="0" w:space="0" w:color="auto"/>
        <w:right w:val="none" w:sz="0" w:space="0" w:color="auto"/>
      </w:divBdr>
      <w:divsChild>
        <w:div w:id="2013099089">
          <w:marLeft w:val="1166"/>
          <w:marRight w:val="0"/>
          <w:marTop w:val="77"/>
          <w:marBottom w:val="0"/>
          <w:divBdr>
            <w:top w:val="none" w:sz="0" w:space="0" w:color="auto"/>
            <w:left w:val="none" w:sz="0" w:space="0" w:color="auto"/>
            <w:bottom w:val="none" w:sz="0" w:space="0" w:color="auto"/>
            <w:right w:val="none" w:sz="0" w:space="0" w:color="auto"/>
          </w:divBdr>
        </w:div>
        <w:div w:id="472405998">
          <w:marLeft w:val="1800"/>
          <w:marRight w:val="0"/>
          <w:marTop w:val="50"/>
          <w:marBottom w:val="0"/>
          <w:divBdr>
            <w:top w:val="none" w:sz="0" w:space="0" w:color="auto"/>
            <w:left w:val="none" w:sz="0" w:space="0" w:color="auto"/>
            <w:bottom w:val="none" w:sz="0" w:space="0" w:color="auto"/>
            <w:right w:val="none" w:sz="0" w:space="0" w:color="auto"/>
          </w:divBdr>
        </w:div>
        <w:div w:id="437603219">
          <w:marLeft w:val="1800"/>
          <w:marRight w:val="0"/>
          <w:marTop w:val="50"/>
          <w:marBottom w:val="0"/>
          <w:divBdr>
            <w:top w:val="none" w:sz="0" w:space="0" w:color="auto"/>
            <w:left w:val="none" w:sz="0" w:space="0" w:color="auto"/>
            <w:bottom w:val="none" w:sz="0" w:space="0" w:color="auto"/>
            <w:right w:val="none" w:sz="0" w:space="0" w:color="auto"/>
          </w:divBdr>
        </w:div>
      </w:divsChild>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300133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727437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498577">
      <w:bodyDiv w:val="1"/>
      <w:marLeft w:val="0"/>
      <w:marRight w:val="0"/>
      <w:marTop w:val="0"/>
      <w:marBottom w:val="0"/>
      <w:divBdr>
        <w:top w:val="none" w:sz="0" w:space="0" w:color="auto"/>
        <w:left w:val="none" w:sz="0" w:space="0" w:color="auto"/>
        <w:bottom w:val="none" w:sz="0" w:space="0" w:color="auto"/>
        <w:right w:val="none" w:sz="0" w:space="0" w:color="auto"/>
      </w:divBdr>
      <w:divsChild>
        <w:div w:id="1184052403">
          <w:marLeft w:val="547"/>
          <w:marRight w:val="0"/>
          <w:marTop w:val="134"/>
          <w:marBottom w:val="0"/>
          <w:divBdr>
            <w:top w:val="none" w:sz="0" w:space="0" w:color="auto"/>
            <w:left w:val="none" w:sz="0" w:space="0" w:color="auto"/>
            <w:bottom w:val="none" w:sz="0" w:space="0" w:color="auto"/>
            <w:right w:val="none" w:sz="0" w:space="0" w:color="auto"/>
          </w:divBdr>
        </w:div>
        <w:div w:id="1286041374">
          <w:marLeft w:val="1166"/>
          <w:marRight w:val="0"/>
          <w:marTop w:val="115"/>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6158894">
      <w:bodyDiv w:val="1"/>
      <w:marLeft w:val="0"/>
      <w:marRight w:val="0"/>
      <w:marTop w:val="0"/>
      <w:marBottom w:val="0"/>
      <w:divBdr>
        <w:top w:val="none" w:sz="0" w:space="0" w:color="auto"/>
        <w:left w:val="none" w:sz="0" w:space="0" w:color="auto"/>
        <w:bottom w:val="none" w:sz="0" w:space="0" w:color="auto"/>
        <w:right w:val="none" w:sz="0" w:space="0" w:color="auto"/>
      </w:divBdr>
      <w:divsChild>
        <w:div w:id="836463473">
          <w:marLeft w:val="2520"/>
          <w:marRight w:val="0"/>
          <w:marTop w:val="58"/>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59ED8-5435-4528-B92B-A3F866A1D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2020-05-15T03:35:00Z</dcterms:created>
  <dcterms:modified xsi:type="dcterms:W3CDTF">2020-05-15T03:35:00Z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